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PflAFinV — Rechtsträgerschaft bei staatlichen Pflegeschulen</w:t>
      </w:r>
    </w:p>
    <w:p>
      <w:r>
        <w:rPr>
          <w:color w:val="555555"/>
          <w:sz w:val="18"/>
        </w:rPr>
        <w:t xml:space="preserve">Pflegeberufe-Ausbildungsfinanzierungsverordnung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Befugnis der Länder, für staatliche Pflegeschulen die Rechtsträgerschaft für das Finanzierungsverfahren nach dieser Verordnung gesondert zu regeln, bleibt unberührt. Eine Aufteilung dieser Rechtsträgerschaft auf die Kostenträger ist zulässig.</w:t>
      </w:r>
    </w:p>
    <w:p>
      <w:r>
        <w:rPr>
          <w:color w:val="555555"/>
          <w:sz w:val="17"/>
        </w:rPr>
        <w:t xml:space="preserve">Zitiervorschlag: § 2 PflAFinV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https://recht.nulegal.eu/gesetze/PflAFinV/2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