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PflAFinV — Aufnahme und Aufgabe des Betriebs von Trägern der praktischen Ausbildung oder Pflegeschulen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Wer den Betrieb eines Trägers der praktischen Ausbildung oder einer Pflegeschule nach den §§ 9 und 65 des Pflegeberufegesetzes oder nach den §§ 8 und 51 des Pflegefachassistenzgesetzes aufnimmt oder aufgibt, hat dies der zuständigen Stelle unverzüglich mitzuteilen.</w:t>
      </w:r>
    </w:p>
    <w:p>
      <w:r>
        <w:t xml:space="preserve">(2) Träger der praktischen Ausbildung oder Pflegeschulen, die den Betrieb aufnehmen, teilen der zuständigen Stelle unverzüglich die Angaben nach § 5 mit und erhalten zum nächstmöglichen Zeitpunkt Ausgleichszuweisungen.</w:t>
      </w:r>
    </w:p>
    <w:p>
      <w:r>
        <w:t xml:space="preserve">(3) Mit der endgültigen Aufgabe des Betriebs eines Trägers der praktischen Ausbildung oder einer Pflegeschule endet der Anspruch auf Ausgleichszuweisungen für die Zukunft. Eine Abrechnung nach § 16 hat zu erfolgen.</w:t>
      </w:r>
    </w:p>
    <w:p>
      <w:r>
        <w:rPr>
          <w:color w:val="555555"/>
          <w:sz w:val="17"/>
        </w:rPr>
        <w:t xml:space="preserve">Zitiervorschlag: § 19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