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PflAFinV — Abrechnung der Umlagebeträge</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Krankenhäuser und Pflegeeinrichtungen legen der zuständigen Stelle bis zum 30. Juni des auf den Finanzierungszeitraum folgenden Jahres eine Abrechnung über die im Finanzierungszeitraum geleisteten monatlichen Umlagebeträge und die jeweils in Rechnung gestellten Ausbildungszuschläge vor und teilen den sich hieraus ergebenden Differenzbetrag mit. Sofern eine Bestätigung eines Jahresabschlussprüfers für das Krankenhaus oder die Pflegeeinrichtung vorliegt, ist auch diese vorzulegen.</w:t>
      </w:r>
    </w:p>
    <w:p>
      <w:r>
        <w:t xml:space="preserve">(2) Die zuständige Stelle gleicht den Differenzbetrag nach Absatz 1 innerhalb des nächsten Finanzierungszeitraums durch Anpassung des monatlichen Umlagebetrages der jeweiligen Einrichtung aus. Ein Ausgleich entfällt, wenn der Differenzbetrag dadurch entstanden ist, dass die Einrichtung von der Erhebung des Ausbildungszuschlags abgesehen hat, obwohl ihr eine Erhebung möglich gewesen wäre.</w:t>
      </w:r>
    </w:p>
    <w:p>
      <w:r>
        <w:rPr>
          <w:color w:val="555555"/>
          <w:sz w:val="17"/>
        </w:rPr>
        <w:t xml:space="preserve">Zitiervorschlag: § 17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