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PferdewMeistPrV — Schriftlicher Teil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schriftlichen Teil soll der Prüfling fallbezogene Aufgaben unter Aufsicht bearbeiten. Die Aufgaben sollen sich auf die in § 13 Absatz 3 bis 6 beschriebenen Kompetenzen beziehen.</w:t>
      </w:r>
    </w:p>
    <w:p>
      <w:r>
        <w:t xml:space="preserve">(2) Die Bearbeitungszeit für den schriftlichen Teil beträgt 150 Minuten.</w:t>
      </w:r>
    </w:p>
    <w:p>
      <w:r>
        <w:rPr>
          <w:color w:val="555555"/>
          <w:sz w:val="17"/>
        </w:rPr>
        <w:t xml:space="preserve">Zitiervorschlag: § 16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