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PfandMeldeV — Insolvenz und Abwicklung der Pfandbriefbank</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(1) Wird über das Vermögen der Pfandbriefbank das Insolvenzverfahren eröffnet, so entfällt ab dem nächstfolgenden Meldestichtag die Pflicht zur Abgabe der Meldung nach Anlage 2.</w:t>
      </w:r>
    </w:p>
    <w:p>
      <w:r>
        <w:t xml:space="preserve">(2) In den Fällen des Absatzes 1, bei Ernennung eines Sachwalters nach § 30 Absatz 5 Satz 1 des Pfandbriefgesetzes sowie bei Erlass eines Abwicklungsinstruments im Sinne des Artikels 3 Absatz 1 Nummer 9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 L 101 vom 18.4.2015, S. 62), die zuletzt durch die Verordnung (EU) 2021/23 (ABl. L 22 vom 22.1.2021, S. 1) geändert worden ist, oder im Sinne des § 2 Absatz 3 Nummer 4 des Sanierungs- und Abwicklungsgesetzes gegen die Pfandbriefbank ist die Bundesanstalt befugt, der Pfandbriefbank nach Inhalt, Umfang und Frequenz geeignete zusätzliche Meldungen aufzugeben oder sie von der Pflicht zur Abgabe einzelner Meldungen freizustellen.</w:t>
      </w:r>
    </w:p>
    <w:p>
      <w:r>
        <w:rPr>
          <w:color w:val="555555"/>
          <w:sz w:val="17"/>
        </w:rPr>
        <w:t xml:space="preserve">Zitiervorschlag: § 6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