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PfandMeldeV — Berichtszeiträume, Meldestichtage, Einreichungsfristen</w:t>
      </w:r>
    </w:p>
    <w:p>
      <w:r>
        <w:rPr>
          <w:color w:val="555555"/>
          <w:sz w:val="18"/>
        </w:rPr>
        <w:t xml:space="preserve">Pfandbrief-Meldeverordnung</w:t>
      </w:r>
    </w:p>
    <w:p>
      <w:r>
        <w:rPr>
          <w:color w:val="555555"/>
          <w:sz w:val="18"/>
        </w:rPr>
        <w:t xml:space="preserve">Stand: 08.10.2022 (konsolidierte Textfassung, kein amtliches Inkrafttretensdatum)</w:t>
      </w:r>
    </w:p>
    <w:p>
      <w:r>
        <w:t xml:space="preserve">(1) Berichtszeitraum für die Meldungen nach den Anlagen ist das Kalenderquartal. Abweichend von Satz 1 ist der Berichtszeitraum im Fall einer Verfügung oder Allgemeinverfügung nach § 27a Absatz 1 Satz 2 des Pfandbriefgesetzes für die hiervon betroffenen Pfandbriefbanken und Gattungen der Kalendermonat.</w:t>
      </w:r>
    </w:p>
    <w:p>
      <w:r>
        <w:t xml:space="preserve">(2) Meldestichtag ist der letzte Bankarbeitstag des letzten Monats des Berichtszeitraums.</w:t>
      </w:r>
    </w:p>
    <w:p>
      <w:r>
        <w:t xml:space="preserve">(3) Die Einreichungsfrist richtet sich nach § 27a Absatz 1 Satz 1 des Pfandbriefgesetzes. Fällt das Ende der Einreichungsfrist auf einen Samstag, einen Sonntag oder einen gesetzlichen Feiertag am Sitz der Pfandbriefbank, fällt das Ende dieser Einreichungsfrist auf den nächstfolgenden Bankarbeitstag.</w:t>
      </w:r>
    </w:p>
    <w:p>
      <w:r>
        <w:rPr>
          <w:color w:val="555555"/>
          <w:sz w:val="17"/>
        </w:rPr>
        <w:t xml:space="preserve">Zitiervorschlag: § 2 PfandMeldeV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https://recht.nulegal.eu/gesetze/PfandMeldeV/2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