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PfandMeldeV — Anwendungsbereich</w:t>
      </w:r>
    </w:p>
    <w:p>
      <w:r>
        <w:rPr>
          <w:color w:val="555555"/>
          <w:sz w:val="18"/>
        </w:rPr>
        <w:t xml:space="preserve">Pfandbrief-Meldeverordnung</w:t>
      </w:r>
    </w:p>
    <w:p>
      <w:r>
        <w:rPr>
          <w:color w:val="555555"/>
          <w:sz w:val="18"/>
        </w:rPr>
        <w:t xml:space="preserve">Stand: 08.10.2022 (konsolidierte Textfassung, kein amtliches Inkrafttretensdatum)</w:t>
      </w:r>
    </w:p>
    <w:p>
      <w:r>
        <w:t xml:space="preserve">(1) Diese Verordnung gilt für Pfandbriefbanken im Sinne des § 1 Absatz 1 Satz 1 des Pfandbriefgesetzes, die Pfandbriefe mindestens einer der in § 1 Absatz 1 Satz 2 des Pfandbriefgesetzes genannten Gattungen im Umlauf haben.</w:t>
      </w:r>
    </w:p>
    <w:p>
      <w:r>
        <w:t xml:space="preserve">(2) Diese Verordnung ist auf getrennten Pfandbriefumlauf nach § 51 Satz 1 des Pfandbriefgesetzes nicht anzuwenden.</w:t>
      </w:r>
    </w:p>
    <w:p>
      <w:r>
        <w:rPr>
          <w:color w:val="555555"/>
          <w:sz w:val="17"/>
        </w:rPr>
        <w:t xml:space="preserve">Zitiervorschlag: § 1 PfandMeldeV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https://recht.nulegal.eu/gesetze/PfandMeldeV/1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