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PfandLV — Verwertung</w:t>
      </w:r>
    </w:p>
    <w:p>
      <w:r>
        <w:rPr>
          <w:color w:val="555555"/>
          <w:sz w:val="18"/>
        </w:rPr>
        <w:t xml:space="preserve">Pfandleiherverordnung</w:t>
      </w:r>
    </w:p>
    <w:p>
      <w:r>
        <w:rPr>
          <w:color w:val="555555"/>
          <w:sz w:val="18"/>
        </w:rPr>
        <w:t xml:space="preserve">Stand: 01.01.2025 (konsolidierte Textfassung, kein amtliches Inkrafttretensdatum)</w:t>
      </w:r>
    </w:p>
    <w:p>
      <w:r>
        <w:t xml:space="preserve">(1) Der Pfandleiher darf sich frühestens einen Monat nach Eintritt der Fälligkeit des gesamten Darlehens aus dem Pfand befriedigen, es sei denn, daß der Verpfänder nach Eintritt der Fälligkeit einer früheren Verwertung zustimmt.</w:t>
      </w:r>
    </w:p>
    <w:p>
      <w:r>
        <w:t xml:space="preserve">(2) Der Pfandleiher hat das Pfand spätestens sechs Monate nach Eintritt der Verwertungsberechtigung zu verwerten. Die zuständige Behörde kann auf Antrag des Pfandleihers die Frist aus wichtigem Grund verlängern. Ist der Pfandleiher durch eine gerichtliche oder behördliche Maßnahme an der fristgerechten Verwertung des Pfandes verhindert, so wird die Frist bis zur Aufhebung einer solchen Maßnahme gehemmt; der Zeitraum, während dessen die Frist gehemmt ist, wird in die Verwertungsfrist nach Satz 1 nicht eingerechnet.</w:t>
      </w:r>
    </w:p>
    <w:p>
      <w:r>
        <w:t xml:space="preserve">(3) Absatz 2 Satz 1 findet keine Anwendung, wenn der Pfandleiher auf Verlangen des Verpfänders eine andere Verwertungsfrist mit diesem vereinbart.</w:t>
      </w:r>
    </w:p>
    <w:p>
      <w:r>
        <w:t xml:space="preserve">(4) Der Pfandleiher hat zu veranlassen, dass die Versteigerung mindestens eine Woche und höchstens zwei Wochen vor dem für die Versteigerung vorgesehenen Zeitpunkt in einer Tageszeitung, einer sonstigen Zeitung oder auf seiner Homepage bekanntgemacht wird. Die Bekanntmachung muß Ort und Zeit der Versteigerung, die allgemeine Bezeichnung der Pfänder, den Namen oder die Firma des Pfandleihers, die Nummern der einzelnen Pfandleihverträge oder die Anfangs- und Endnummern der zur Versteigerung gelangenden Serie sowie den Zeitraum der Verpfändungen ergeben; bei Pfändern, deren Versteigerung bereits in früheren Anzeigen bekanntgemacht worden ist und die nicht versteigert worden sind, genügt an Stelle der Angabe der Nummern und des Zeitraums ein Hinweis auf die früheren Anzeigen.</w:t>
      </w:r>
    </w:p>
    <w:p>
      <w:r>
        <w:rPr>
          <w:color w:val="555555"/>
          <w:sz w:val="17"/>
        </w:rPr>
        <w:t xml:space="preserve">Zitiervorschlag: § 9 PfandLV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https://recht.nulegal.eu/gesetze/PfandLV/9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