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PfandLV — Pfandschein</w:t>
      </w:r>
    </w:p>
    <w:p>
      <w:r>
        <w:rPr>
          <w:color w:val="555555"/>
          <w:sz w:val="18"/>
        </w:rPr>
        <w:t xml:space="preserve">Pfandleiherverordnung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Pfandleiher hat dem Verpfänder unverzüglich nach Abschluß des Pfandleihvertrags einen Pfandschein auszuhändigen, der von dem Pfandleiher oder seinem Bevollmächtigten unterzeichnet ist; eine vervielfältigte Unterschrift genügt.</w:t>
      </w:r>
    </w:p>
    <w:p>
      <w:r>
        <w:t xml:space="preserve">(2) Der Pfandschein muß die in § 3 Abs. 2 Nr. 1 bis 3 und 5 bis 8 genannten Angaben sowie die Geschäftsbedingungen enthalten und gut lesbar sein.</w:t>
      </w:r>
    </w:p>
    <w:p>
      <w:r>
        <w:t xml:space="preserve">(3) Der Pfandleiher hat dem Verpfänder einen neuen Pfandschein auszuhändigen, wenn der Pfandleihvertrag verlängert oder sonst geändert wird (Erneuerung).</w:t>
      </w:r>
    </w:p>
    <w:p>
      <w:r>
        <w:rPr>
          <w:color w:val="555555"/>
          <w:sz w:val="17"/>
        </w:rPr>
        <w:t xml:space="preserve">Zitiervorschlag: § 6 PfandLV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https://recht.nulegal.eu/gesetze/PfandLV/6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