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PfandLV — Überschüsse aus der Verwertung</w:t>
      </w:r>
    </w:p>
    <w:p>
      <w:r>
        <w:rPr>
          <w:color w:val="555555"/>
          <w:sz w:val="18"/>
        </w:rPr>
        <w:t xml:space="preserve">Pfandleiherverordnung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Pfandleiher hat Überschüsse, über die Vereinbarungen nach § 5 Abs. 1 Nr. 2 abgeschlossen sind, spätestens einen Monat nach Ablauf der in § 5 Abs. 1 Nr. 2 bezeichneten Frist an die zuständige Behörde abzuführen; die zuständige Behörde kann auf Antrag des Pfandleihers die in Satz 1 genannte Frist von einem Monat aus wichtigem Grund verlängern. Die abgeführten Überschüsse verfallen dem Fiskus des Landes, in dem die Verpfändung erfolgt ist.</w:t>
      </w:r>
    </w:p>
    <w:p>
      <w:r>
        <w:t xml:space="preserve">(2) Stehen in den Fällen des Absatzes 1 den Überschüssen Mindererlöse aus früheren Vereinbarungen nach § 5 mit demselben Verpfänder gegenüber, so darf der Pfandleiher sich aus dem Überschuss auch hinsichtlich des Mindererlöses befriedigen.</w:t>
      </w:r>
    </w:p>
    <w:p>
      <w:r>
        <w:rPr>
          <w:color w:val="555555"/>
          <w:sz w:val="17"/>
        </w:rPr>
        <w:t xml:space="preserve">Zitiervorschlag: § 11 PfandLV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https://recht.nulegal.eu/gesetze/PfandLV/11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