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PfandBrÜblG</w:t>
      </w:r>
    </w:p>
    <w:p>
      <w:r>
        <w:rPr>
          <w:color w:val="555555"/>
          <w:sz w:val="18"/>
        </w:rPr>
        <w:t xml:space="preserve">Gesetz zur Überleitung der Beteiligung des ehemaligen Landes Preußen am Grundkapital der Deutschen Pfandbriefanstalt auf den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erstattet den Ländern die von ihnen für die Zeit nach dem Inkrafttreten des Gesetzes zu leistenden Aufwendungen (Zinsen und etwaige Tilgungsraten) für die Ausgleichsforderungen der Deutschen Pfandbriefanstalt.</w:t>
      </w:r>
    </w:p>
    <w:p>
      <w:r>
        <w:rPr>
          <w:color w:val="555555"/>
          <w:sz w:val="17"/>
        </w:rPr>
        <w:t xml:space="preserve">Zitiervorschlag: § 2 PfandBrÜblG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https://recht.nulegal.eu/gesetze/PfandBr%C3%9CblG/2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