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PfandBarwertV 2005</w:t>
      </w:r>
    </w:p>
    <w:p>
      <w:r>
        <w:rPr>
          <w:color w:val="555555"/>
          <w:sz w:val="18"/>
        </w:rPr>
        <w:t xml:space="preserve">Pfandbrief-Barwertverordnung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Auf Grund des § 4 Abs. 6 des Pfandbriefgesetzes vom 22. Mai 2005 (BGBl. I S. 1373) in Verbindung mit § 1 Nr. 4 der Verordnung zur Übertragung von Befugnissen zum Erlass von Rechtsverordnungen auf die Bundesanstalt für Finanzdienstleistungsaufsicht vom 13. Dezember 2002 (BGBl. 2003 I S. 3), der zuletzt durch Artikel 11 des Gesetzes vom 22. Mai 2005 (BGBl. I S. 1373) geändert worden ist, verordnet die Bundesanstalt für Finanzdienstleistungsaufsicht im Einvernehmen mit dem Bundesministerium der Justiz nach Anhörung der Spitzenverbände der Kreditwirtschaft:</w:t>
      </w:r>
    </w:p>
    <w:p>
      <w:r>
        <w:rPr>
          <w:color w:val="555555"/>
          <w:sz w:val="17"/>
        </w:rPr>
        <w:t xml:space="preserve">Zitiervorschlag: Eingangsformel PfandBarwertV 2005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https://recht.nulegal.eu/gesetze/PfandBarwertV%202005/eingangsformel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