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PfandBarwertV 2005 — Übergangsbestimmungen</w:t>
      </w:r>
    </w:p>
    <w:p>
      <w:r>
        <w:rPr>
          <w:color w:val="555555"/>
          <w:sz w:val="18"/>
        </w:rPr>
        <w:t xml:space="preserve">Pfandbrief-Barwertverordnung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Pfandbriefbanken, die eine Anzeige nach § 51 des Pfandbriefgesetzes abgegeben haben, haben für die von dieser Anzeige erfassten Pfandbriefe und die zu deren Deckung verwendeten Werte die jeweiligen Vorschriften der Pfandbrief-Barwertverordnung vom 19. Dezember 2003 (BGBl. I S. 2815) oder der Hypothekenpfandbrief-Barwertverordnung vom 19. Dezember 2003 (BGBl. I S. 2818) weiter anzuwenden.</w:t>
      </w:r>
    </w:p>
    <w:p>
      <w:r>
        <w:t xml:space="preserve">(2) Pfandbriefbanken, die bereits vor Inkrafttreten des Pfandbriefgesetzes Schiffspfandbriefe oder Kommunalschuldverschreibungen nach § 1 des Schiffsbankgesetzes begeben haben, dürfen die nach § 4 Abs. 2 Satz 1 des Pfandbriefgesetzes erforderliche Berechnung zur Sicherstellung der jederzeitigen Deckung dieser Pfandbriefe nach dem Barwert noch bis zum 30. November 2005 nach einem anderen geeigneten Verfahren durchführen.</w:t>
      </w:r>
    </w:p>
    <w:p>
      <w:r>
        <w:rPr>
          <w:color w:val="555555"/>
          <w:sz w:val="17"/>
        </w:rPr>
        <w:t xml:space="preserve">Zitiervorschlag: § 9 PfandBarwertV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https://recht.nulegal.eu/gesetze/PfandBarwertV%202005/9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