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PfandBarwertV 2005 — Dokumentationspflichten</w:t>
      </w:r>
    </w:p>
    <w:p>
      <w:r>
        <w:rPr>
          <w:color w:val="555555"/>
          <w:sz w:val="18"/>
        </w:rPr>
        <w:t xml:space="preserve">Pfandbrief-Barwertverordnung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Jede Pfandbriefbank ist verpflichtet,</w:t>
      </w:r>
    </w:p>
    <w:p>
      <w:pPr>
        <w:ind w:left="420"/>
      </w:pPr>
      <w:r>
        <w:t xml:space="preserve">1. das Verfahren zur Bewertung von Derivaten nach § 3 Abs. 1 Satz 2 sowie spätere Veränderungen dieses Verfahrens,</w:t>
      </w:r>
    </w:p>
    <w:p>
      <w:pPr>
        <w:ind w:left="420"/>
      </w:pPr>
      <w:r>
        <w:t xml:space="preserve">2. das Verfahren zur Ermittlung der Standardabweichung sowie das Interpolationsverfahren nach § 5 Abs. 1 Nr. 2 und</w:t>
      </w:r>
    </w:p>
    <w:p>
      <w:pPr>
        <w:ind w:left="420"/>
      </w:pPr>
      <w:r>
        <w:t xml:space="preserve">3. das Verfahren zur Ermittlung der Standardabweichung nach § 6 Abs. 2 Nr. 2</w:t>
      </w:r>
    </w:p>
    <w:p>
      <w:r>
        <w:t xml:space="preserve">zu dokumentieren.</w:t>
      </w:r>
    </w:p>
    <w:p>
      <w:r>
        <w:t xml:space="preserve">(2) Die Dokumentationen sind von der Pfandbriefbank dauerhaft aufzubewahren.</w:t>
      </w:r>
    </w:p>
    <w:p>
      <w:r>
        <w:rPr>
          <w:color w:val="555555"/>
          <w:sz w:val="17"/>
        </w:rPr>
        <w:t xml:space="preserve">Zitiervorschlag: § 7 PfandBarwertV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https://recht.nulegal.eu/gesetze/PfandBarwertV%202005/7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