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PfandBarwertV 2005 — Ermittlung der aktuellen Barwerte</w:t>
      </w:r>
    </w:p>
    <w:p>
      <w:r>
        <w:rPr>
          <w:color w:val="555555"/>
          <w:sz w:val="18"/>
        </w:rPr>
        <w:t xml:space="preserve">Pfandbrief-Barwertverordnung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Ermittlung der Barwerte ist die alleinige Verwendung der währungsspezifischen Zinskurve für Swapgeschäfte zulässig. Derivate sind abweichend von Satz 1 mit ihrem aktuellen Marktpreis zu berücksichtigen, der durch eine vom Handel weisungsunabhängige Stelle, welche alle zur Ermittlung des Marktpreises notwendigen organisatorischen, materiellen und fachlichen Voraussetzungen erfüllt, zu ermitteln ist.</w:t>
      </w:r>
    </w:p>
    <w:p>
      <w:r>
        <w:t xml:space="preserve">(2) Die Barwerte von Fremdwährungspositionen sind zum jeweils aktuellen Wechselkurs in Euro umzurechnen.</w:t>
      </w:r>
    </w:p>
    <w:p>
      <w:r>
        <w:rPr>
          <w:color w:val="555555"/>
          <w:sz w:val="17"/>
        </w:rPr>
        <w:t xml:space="preserve">Zitiervorschlag: § 3 PfandBarwertV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https://recht.nulegal.eu/gesetze/PfandBarwertV%202005/3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