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PfandBarwertV 2005 — Inkrafttreten, Außerkrafttreten</w:t>
      </w:r>
    </w:p>
    <w:p>
      <w:r>
        <w:rPr>
          <w:color w:val="555555"/>
          <w:sz w:val="18"/>
        </w:rPr>
        <w:t xml:space="preserve">Pfandbrief-Barwertverordnung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PfandBarwertV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https://recht.nulegal.eu/gesetze/PfandBarwertV%202005/10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