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PfandBG — Inhalt der Pfandbriefe</w:t>
      </w:r>
    </w:p>
    <w:p>
      <w:r>
        <w:rPr>
          <w:color w:val="555555"/>
          <w:sz w:val="18"/>
        </w:rPr>
        <w:t xml:space="preserve">Pfandbriefgesetz</w:t>
      </w:r>
    </w:p>
    <w:p>
      <w:r>
        <w:rPr>
          <w:color w:val="555555"/>
          <w:sz w:val="18"/>
        </w:rPr>
        <w:t xml:space="preserve">Stand: 08.07.2022 (konsolidierte Textfassung, kein amtliches Inkrafttretensdatum)</w:t>
      </w:r>
    </w:p>
    <w:p>
      <w:r>
        <w:t xml:space="preserve">(1) In den Pfandbriefen sind die für das Rechtsverhältnis zwischen der Pfandbriefbank und den Pfandbriefgläubigern maßgebenden Bestimmungen, insbesondere bezüglich der Kündbarkeit der Pfandbriefe, ersichtlich zu machen. Auf die Möglichkeit einer Fälligkeitsverschiebung nach § 30 Absatz 2a und die dafür maßgeblichen Voraussetzungen ist in den Emissionsbedingungen von Pfandbriefen deutlich hinzuweisen.</w:t>
      </w:r>
    </w:p>
    <w:p>
      <w:r>
        <w:t xml:space="preserve">(2) Den Pfandbriefgläubigern darf ein Kündigungsrecht nicht eingeräumt werden. Ein entgegen Satz 1 eingeräumtes Kündigungsrecht ist unwirksam.</w:t>
      </w:r>
    </w:p>
    <w:p>
      <w:r>
        <w:t xml:space="preserve">(3) Die Ausgabe von Pfandbriefen, deren maximaler Einlösungswert nicht bekannt ist, ist nicht gestattet.</w:t>
      </w:r>
    </w:p>
    <w:p>
      <w:r>
        <w:rPr>
          <w:color w:val="555555"/>
          <w:sz w:val="17"/>
        </w:rPr>
        <w:t xml:space="preserve">Zitiervorschlag: § 6 PfandBG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https://recht.nulegal.eu/gesetze/PfandBG/6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