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PfandBG — Übergangsvorschrift zum CBD-Umsetzungsgesetz</w:t>
      </w:r>
    </w:p>
    <w:p>
      <w:r>
        <w:rPr>
          <w:color w:val="555555"/>
          <w:sz w:val="18"/>
        </w:rPr>
        <w:t xml:space="preserve">Pfandbriefgesetz</w:t>
      </w:r>
    </w:p>
    <w:p>
      <w:r>
        <w:rPr>
          <w:color w:val="555555"/>
          <w:sz w:val="18"/>
        </w:rPr>
        <w:t xml:space="preserve">Stand: 08.07.2022 (konsolidierte Textfassung, kein amtliches Inkrafttretensdatum)</w:t>
      </w:r>
    </w:p>
    <w:p>
      <w:r>
        <w:t xml:space="preserve">§ 28 Absatz 5 ist in Bezug auf die Angaben nach § 28 Absatz 1 Satz 1 Nummer 2, 3, 5, 6, 8 bis 10 und 12 in der ab dem 8. Juli 2022 geltenden Fassung erstmals auf das am 1. Juli 2023 beginnende Quartal anzuwenden.</w:t>
      </w:r>
    </w:p>
    <w:p>
      <w:r>
        <w:rPr>
          <w:color w:val="555555"/>
          <w:sz w:val="17"/>
        </w:rPr>
        <w:t xml:space="preserve">Zitiervorschlag: § 55 PfandBG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