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PfandBG — Fortgeltende Bestimmungen des Gesetzes zur Änderung und Ergänzung des Schiffsbankgesetzes</w:t>
      </w:r>
    </w:p>
    <w:p>
      <w:r>
        <w:rPr>
          <w:color w:val="555555"/>
          <w:sz w:val="18"/>
        </w:rPr>
        <w:t xml:space="preserve">Pfandbriefgesetz</w:t>
      </w:r>
    </w:p>
    <w:p>
      <w:r>
        <w:rPr>
          <w:color w:val="555555"/>
          <w:sz w:val="18"/>
        </w:rPr>
        <w:t xml:space="preserve">Stand: 10.06.2019 (konsolidierte Textfassung, kein amtliches Inkrafttretensdatum)</w:t>
      </w:r>
    </w:p>
    <w:p>
      <w:r>
        <w:t xml:space="preserve">(1) Wird für eine Forderung, die in ausländischer Währung zu zahlen ist, eine Schiffshypothek in das Schiffsregister eingetragen, so kann der Geldbetrag der Forderung und etwaiger Nebenleistungen oder der Höchstbetrag, bis zu dem das Schiff haften soll, in ausländischer Währung angegeben werden. Dasselbe gilt für die Eintragung einer Schiffshypothek in das Schiffsbauregister.</w:t>
      </w:r>
    </w:p>
    <w:p>
      <w:r>
        <w:t xml:space="preserve">(2) Die durch Artikel 4 Abs. 1 des Gesetzes zur Änderung und Ergänzung des Schiffsbankgesetzes in der im Bundesgesetzblatt Teil III, Gliederungsnummer 7628-2-1, veröffentlichten bereinigten Fassung mit der Maßgabe aufgehobenen Vorschriften, dass sie, soweit sie noch in Geltung sind, auf Rechte anwendbar bleiben, die vor Inkrafttreten des bezeichneten Gesetzes in ausländischer Währung eingetragen waren, bleiben für den durch die Maßgabe bezeichneten Umfang und Anwendungsbereich unverändert anwendbar.</w:t>
      </w:r>
    </w:p>
    <w:p>
      <w:r>
        <w:rPr>
          <w:color w:val="555555"/>
          <w:sz w:val="17"/>
        </w:rPr>
        <w:t xml:space="preserve">Zitiervorschlag: § 52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