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4a PfandBG — Umschuldungsklauseln in Staatsanleihen</w:t>
      </w:r>
    </w:p>
    <w:p>
      <w:r>
        <w:rPr>
          <w:color w:val="555555"/>
          <w:sz w:val="18"/>
        </w:rPr>
        <w:t xml:space="preserve">Pfandbriefgesetz</w:t>
      </w:r>
    </w:p>
    <w:p>
      <w:r>
        <w:rPr>
          <w:color w:val="555555"/>
          <w:sz w:val="18"/>
        </w:rPr>
        <w:t xml:space="preserve">Stand: 03.01.2024 (konsolidierte Textfassung, kein amtliches Inkrafttretensdatum)</w:t>
      </w:r>
    </w:p>
    <w:p>
      <w:r>
        <w:t xml:space="preserve">Umschuldungsklauseln nach § 4a des Bundesschuldenwesengesetzes in den Emissionsbedingungen von Schuldverschreibungen des Bundes sowie entsprechende Umschuldungsklauseln in den Emissionsbedingungen von Schuldverschreibungen anderer Schuldner im Sinne des § 20 Absatz 1 Nummer 1 stehen einer Indeckungnahme nach § 4 Absatz 1 Satz 3 Nummer 1 und 2, § 19 Absatz 1 Satz 1 Nummer 4, § 20 Absatz 1 Nummer 1, § 26 Absatz 1 Satz 1 Nummer 5 oder § 26f Absatz 1 Satz 1 Nummer 5 nicht entgegen.</w:t>
      </w:r>
    </w:p>
    <w:p>
      <w:r>
        <w:rPr>
          <w:color w:val="555555"/>
          <w:sz w:val="17"/>
        </w:rPr>
        <w:t xml:space="preserve">Zitiervorschlag: § 4a PfandBG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https://recht.nulegal.eu/gesetze/PfandBG/4a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