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46 PfandBG — Beleihungsgrenze</w:t>
      </w:r>
    </w:p>
    <w:p>
      <w:r>
        <w:rPr>
          <w:color w:val="555555"/>
          <w:sz w:val="18"/>
        </w:rPr>
        <w:t xml:space="preserve">Pfandbriefgesetz</w:t>
      </w:r>
    </w:p>
    <w:p>
      <w:r>
        <w:rPr>
          <w:color w:val="555555"/>
          <w:sz w:val="18"/>
        </w:rPr>
        <w:t xml:space="preserve">Stand: 10.06.2019 (konsolidierte Textfassung, kein amtliches Inkrafttretensdatum)</w:t>
      </w:r>
    </w:p>
    <w:p>
      <w:r>
        <w:t xml:space="preserve">(1) Hypotheken, die vor dem 13. Oktober 2004 in ein bei der Pfandbriefbank geführtes Deckungsregister für Hypothekenpfandbriefe eingetragen worden sind, dürfen, soweit sie nicht den Erfordernissen des § 16 Abs. 1 bis 3 entsprechen, abweichend von § 14 Abs. 1 bis zum 30. Juni 2006 in Höhe von 50 Prozent des von der Pfandbriefbank auf Grund einer vor dem 13. Oktober durchgeführten Wertermittlung festgesetzten Wertes zur Deckung von Hypothekenpfandbriefen benutzt werden.</w:t>
      </w:r>
    </w:p>
    <w:p>
      <w:r>
        <w:t xml:space="preserve">(2) Im Falle des Absatzes 1 sind § 14 Abs. 2 und § 30 Abs. 3 Satz 4 mit der Maßgabe anzuwenden, dass statt der in § 14 Abs. 1 festgelegten Beleihungsgrenze die Grenze nach Absatz 1 maßgeblich ist.</w:t>
      </w:r>
    </w:p>
    <w:p>
      <w:r>
        <w:rPr>
          <w:color w:val="555555"/>
          <w:sz w:val="17"/>
        </w:rPr>
        <w:t xml:space="preserve">Zitiervorschlag: § 46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46 PfandBG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