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PfandBG — Versicherungspflicht</w:t>
      </w:r>
    </w:p>
    <w:p>
      <w:r>
        <w:rPr>
          <w:color w:val="555555"/>
          <w:sz w:val="18"/>
        </w:rPr>
        <w:t xml:space="preserve">Pfandbriefgesetz</w:t>
      </w:r>
    </w:p>
    <w:p>
      <w:r>
        <w:rPr>
          <w:color w:val="555555"/>
          <w:sz w:val="18"/>
        </w:rPr>
        <w:t xml:space="preserve">Stand: 10.06.2019 (konsolidierte Textfassung, kein amtliches Inkrafttretensdatum)</w:t>
      </w:r>
    </w:p>
    <w:p>
      <w:r>
        <w:t xml:space="preserve">Hypotheken, die den Pfandbriefbanken zu Beginn des 19. Juli 2005 zustehen, sind zur Deckung der von ihnen ausgegebenen Hypothekenpfandbriefe nicht aus dem Grunde ungeeignet, weil das aufstehende Gebäude nicht nach Maßgabe des § 15 Satz 3 Nummer 1 versichert ist. Durch Schiffshypotheken gesicherte Darlehensforderungen, die den Pfandbriefbanken zu Beginn des 19. Juli 2005 zustehen, sind zur Deckung der von ihnen ausgegebenen Schiffspfandbriefe nicht aus dem Grunde ungeeignet, weil das Schiff oder Schiffsbauwerk nicht in Höhe der Versicherungspflicht nach Maßgabe des § 23 Abs. 1 Satz 1 versichert ist.</w:t>
      </w:r>
    </w:p>
    <w:p>
      <w:r>
        <w:rPr>
          <w:color w:val="555555"/>
          <w:sz w:val="17"/>
        </w:rPr>
        <w:t xml:space="preserve">Zitiervorschlag: § 45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