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PfandBG — Erlaubnis für Hypothekenbanken</w:t>
      </w:r>
    </w:p>
    <w:p>
      <w:r>
        <w:rPr>
          <w:color w:val="555555"/>
          <w:sz w:val="18"/>
        </w:rPr>
        <w:t xml:space="preserve">Pfandbriefgesetz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bei Ablauf des 18. Juli 2005 zugelassenen Hypothekenbanken im Sinne des § 1 des Hypothekenbankgesetzes gilt die Erlaubnis für die in § 1 Abs. 1 Satz 2 Nr. 1 bis 5 und 7 bis 10 des Kreditwesengesetzes bezeichneten Bankgeschäfte nach § 32 des Kreditwesengesetzes als erteilt. Die in § 35 Abs. 1 des Kreditwesengesetzes genannte Frist beginnt am 19. Juli 2005.</w:t>
      </w:r>
    </w:p>
    <w:p>
      <w:r>
        <w:rPr>
          <w:color w:val="555555"/>
          <w:sz w:val="17"/>
        </w:rPr>
        <w:t xml:space="preserve">Zitiervorschlag: § 43 PfandBG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https://recht.nulegal.eu/gesetze/PfandBG/43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