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PfandBG — Zusammenarbeit mit Stellen im Europäischen Wirtschaftsraum</w:t>
      </w:r>
    </w:p>
    <w:p>
      <w:r>
        <w:rPr>
          <w:color w:val="555555"/>
          <w:sz w:val="18"/>
        </w:rPr>
        <w:t xml:space="preserve">Pfandbriefgesetz</w:t>
      </w:r>
    </w:p>
    <w:p>
      <w:r>
        <w:rPr>
          <w:color w:val="555555"/>
          <w:sz w:val="18"/>
        </w:rPr>
        <w:t xml:space="preserve">Stand: 08.07.2022 (konsolidierte Textfassung, kein amtliches Inkrafttretensdatum)</w:t>
      </w:r>
    </w:p>
    <w:p>
      <w:r>
        <w:t xml:space="preserve">(1) Die Bundesanstalt arbeitet nach Maßgabe der Richtlinie (EU) 2019/2162 des Europäischen Parlaments und des Rates vom 27. November 2019 über die Emission gedeckter Schuldverschreibungen und die öffentliche Aufsicht über gedeckte Schuldverschreibungen und zur Änderung der Richtlinien 2009/65/EG und 2014/59/EU (ABl. L 328 vom 18.12.2019, S. 29) mit folgenden Stellen zusammen:</w:t>
      </w:r>
    </w:p>
    <w:p>
      <w:pPr>
        <w:ind w:left="420"/>
      </w:pPr>
      <w:r>
        <w:t xml:space="preserve">1. der Europäischen Zentralbank, soweit dieser die allgemeine Beaufsichtigung der Kreditinstitute, die Pfandbriefbanken sind, nach Artikel 4 der Verordnung (EU) Nr. 1024/2013 des Rates vom 15. Oktober 2013 zur Übertragung besonderer Aufgaben im Zusammenhang mit der Aufsicht über Kreditinstitute auf die Europäische Zentralbank (ABl. L 287 vom 29.10.2013, S. 63; L 218 vom 19.8.2015, S. 82) übertragen ist,</w:t>
      </w:r>
    </w:p>
    <w:p>
      <w:pPr>
        <w:ind w:left="420"/>
      </w:pPr>
      <w:r>
        <w:t xml:space="preserve">2. dem Einheitlichen Abwicklungsausschuss nach Artikel 42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 die zuletzt durch die Verordnung (EU) 2021/23 (ABl. L 22 vom 22.1.2021, S. 1) geändert worden ist, wenn dieser Abwicklungsmaßnahmen in Bezug auf Kreditinstitute, die Pfandbriefbanken sind, trifft,</w:t>
      </w:r>
    </w:p>
    <w:p>
      <w:pPr>
        <w:ind w:left="420"/>
      </w:pPr>
      <w:r>
        <w:t xml:space="preserve">3. der Europäischen Bankenaufsichtsbehörde und der Europäischen Wertpapier- und Marktaufsichtsbehörde sowie</w:t>
      </w:r>
    </w:p>
    <w:p>
      <w:pPr>
        <w:ind w:left="420"/>
      </w:pPr>
      <w:r>
        <w:t xml:space="preserve">4. den nach Artikel 18 Absatz 2 der Richtlinie (EU) 2019/2162 benannten Aufsichtsbehörden der anderen Mitgliedstaaten der Europäischen Union und der anderen Vertragsstaaten des Abkommens über den Europäischen Wirtschaftsraum.</w:t>
      </w:r>
    </w:p>
    <w:p>
      <w:r>
        <w:t xml:space="preserve">(2) Die Bundesanstalt teilt der Europäischen Bankenaufsichtsbehörde nach Maßgabe des Artikels 24 Absatz 9 der Richtlinie 2019/2162 die nach § 40a veröffentlichten Maßnahmen, Bußgeldentscheidungen und Mitteilungen in Strafsachen mit und übermittelt nach Maßgabe des Artikels 26 Absatz 3 der Richtlinie 2019/2162 jährlich die nach § 2 Absatz 6 veröffentlichte Liste. Sie teilt den nach Artikel 18 Absatz 2 der Richtlinie 2019/2162 benannten Aufsichtsbehörden der anderen Mitgliedstaaten der Europäischen Union und der anderen Vertragsstaaten des Abkommens über den Europäischen Wirtschaftsraum diejenigen Umstände mit, die bei sachkundiger Betrachtung erhebliche Auswirkungen auf die Emission Europäischer gedeckter Schuldverschreibungen im betreffenden Mitgliedstaat der Europäischen Union oder im betreffenden anderen Vertragsstaat des Abkommens über den Europäischen Wirtschaftsraum haben könnten.</w:t>
      </w:r>
    </w:p>
    <w:p>
      <w:r>
        <w:rPr>
          <w:color w:val="555555"/>
          <w:sz w:val="17"/>
        </w:rPr>
        <w:t xml:space="preserve">Zitiervorschlag: § 3a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