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36a PfandBG — Trennungsprinzip bei Reorganisation oder Restrukturierung der Pfandbriefbank</w:t>
      </w:r>
    </w:p>
    <w:p>
      <w:r>
        <w:rPr>
          <w:color w:val="555555"/>
          <w:sz w:val="18"/>
        </w:rPr>
        <w:t xml:space="preserve">Pfandbriefgesetz</w:t>
      </w:r>
    </w:p>
    <w:p>
      <w:r>
        <w:rPr>
          <w:color w:val="555555"/>
          <w:sz w:val="18"/>
        </w:rPr>
        <w:t xml:space="preserve">Stand: 01.07.2021 (konsolidierte Textfassung, kein amtliches Inkrafttretensdatum)</w:t>
      </w:r>
    </w:p>
    <w:p>
      <w:r>
        <w:t xml:space="preserve">(1) Trifft die Abwicklungsbehörde bei einer Übertragung im Sinne des § 107 des Sanierungs- und Abwicklungsgesetzes Bestimmungen zur teilweisen oder vollständigen Übertragung des Pfandbriefgeschäfts, ist die Übertragung abweichend von § 114 Absatz 2 des Sanierungs- und Abwicklungsgesetzes nach Maßgabe der §§ 30 bis 36 zu vollziehen. Der Sachwalter beachtet bei Erfüllung seiner Pflichten und Ausübung seiner Rechte die Bestimmungen der Anordnung im Sinne des Satzes 1. Die Anordnung im Sinne des Satzes 1 kann abweichend von Satz 1 auch den unmittelbaren Übergang der in den Deckungsregistern eingetragenen Werte einschließlich der Werte im Sinne des § 30 Absatz 3 und der zugehörigen Pfandbriefverbindlichkeiten anordnen. Im Fall des Satzes 3 gilt § 30 Absatz 3 mit der Maßgabe entsprechend, dass an die Stelle des Sachwalters die übernehmende Pfandbriefbank tritt und die Abführungspflicht gegenüber der übertragenden Pfandbriefbank unabhängig von ihrer Insolvenz besteht; ist die Gewährung einer Gegenleistung vorgesehen, gilt darüber hinaus § 30 Absatz 4 Satz 1 und 2 entsprechend. Sind im Deckungsregister</w:t>
      </w:r>
    </w:p>
    <w:p>
      <w:pPr>
        <w:ind w:left="420"/>
      </w:pPr>
      <w:r>
        <w:t xml:space="preserve">1. Forderungen gegen Schuldner eingetragen, die ihren Sitz nicht in einem Mitgliedstaat der Europäischen Union oder einem anderen Vertragsstaat des Abkommens über den Europäischen Wirtschaftsraum haben, oder</w:t>
      </w:r>
    </w:p>
    <w:p>
      <w:pPr>
        <w:ind w:left="420"/>
      </w:pPr>
      <w:r>
        <w:t xml:space="preserve">2. Sicherheiten an Grundstücken oder grundstücksgleichen Rechten, Schiffen oder Flugzeugen eingetragen, die ihrerseits außerhalb der Mitgliedstaaten der Europäischen Union oder der anderen Vertragsstaaten des Abkommens über den Europäischen Wirtschaftsraum belegen oder registriert sind,</w:t>
      </w:r>
    </w:p>
    <w:p>
      <w:r>
        <w:t xml:space="preserve">kann die Übertragung nach Satz 3 jedoch nur in der Weise erfolgen, dass die Abwicklungsbehörde zeitgleich einen Sachwalter von Amts wegen vorläufig bestellt, der die übertragenen Werte gemäß § 35 treuhänderisch für die übernehmende Pfandbriefbank verwaltet. Für das Verfahren der vorläufigen Bestellung und die Rechtsstellung des Sachwalters im Sinne des Satzes 5 gelten § 31 mit der Maßgabe, dass die Bundesanstalt an die Stelle des Gerichts tritt, sowie § 31a entsprechend. Die gerichtliche Ernennung ist unverzüglich nachzuholen. Für das Verfahren der Ernennung gilt § 31 Absatz 1 und 2 entsprechend.</w:t>
      </w:r>
    </w:p>
    <w:p>
      <w:r>
        <w:t xml:space="preserve">(2) Bei Erlass der Anordnung im Sinne des Absatzes 1 Satz 1 kann die Abwicklungsbehörde den Sachwalter von Amts wegen vorläufig bestellen, sofern nicht nach Absatz 1 Satz 5 eine vorläufige Bestellung erfolgen muss. Für diesen Sachwalter gilt Absatz 1 Satz 6 bis 8 entsprechend.</w:t>
      </w:r>
    </w:p>
    <w:p>
      <w:r>
        <w:t xml:space="preserve">(3) Die Absätze 1 und 2 gelten entsprechend bei Anwendung eines Instrumentes nach den Artikeln 24 bis 26 der Verordnung (EU) Nr. 806/2014.</w:t>
      </w:r>
    </w:p>
    <w:p>
      <w:r>
        <w:rPr>
          <w:color w:val="555555"/>
          <w:sz w:val="17"/>
        </w:rPr>
        <w:t xml:space="preserve">Zitiervorschlag: § 36a PfandBG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https://recht.nulegal.eu/gesetze/PfandBG/36a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