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PfandBG — Handelsregistereintragung</w:t>
      </w:r>
    </w:p>
    <w:p>
      <w:r>
        <w:rPr>
          <w:color w:val="555555"/>
          <w:sz w:val="18"/>
        </w:rPr>
        <w:t xml:space="preserve">Pfandbriefgesetz</w:t>
      </w:r>
    </w:p>
    <w:p>
      <w:r>
        <w:rPr>
          <w:color w:val="555555"/>
          <w:sz w:val="18"/>
        </w:rPr>
        <w:t xml:space="preserve">Stand: 10.06.2019 (konsolidierte Textfassung, kein amtliches Inkrafttretensdatum)</w:t>
      </w:r>
    </w:p>
    <w:p>
      <w:r>
        <w:t xml:space="preserve">(1) Der Sachwalter und das Vertretungsorgan der übernehmenden Pfandbriefbank haben die Übertragung zur Eintragung in das Handelsregister des Sitzes der jeweiligen Pfandbriefbank anzumelden. Der Anmeldung sind der Übertragungsvertrag in Ausfertigung oder öffentlich beglaubigter Abschrift und die Zustimmungsurkunde der Bundesanstalt beizufügen.</w:t>
      </w:r>
    </w:p>
    <w:p>
      <w:r>
        <w:t xml:space="preserve">(2) Die Übertragung darf in das Handelsregister des Sitzes der übertragenden Pfandbriefbank erst eingetragen werden, nachdem sie im Handelsregister des Sitzes der übernehmenden Pfandbriefbank eingetragen worden ist. Die Eintragung im Handelsregister des Sitzes der übernehmenden Pfandbriefbank ist mit dem Vermerk zu versehen, dass die Übertragung erst mit der Eintragung im Handelsregister des Sitzes der übertragenden Pfandbriefbank wirksam wird.</w:t>
      </w:r>
    </w:p>
    <w:p>
      <w:r>
        <w:t xml:space="preserve">(3) Das Gericht des Sitzes der übertragenden Pfandbriefbank hat von Amts wegen dem Gericht des Sitzes der übernehmenden Pfandbriefbank den Tag der Eintragung der Übertragung mitzuteilen und einen Auszug aus dem Handelsregister zu übersenden. Nach Eingang der Mitteilung hat das Gericht des Sitzes der übernehmenden Pfandbriefbank von Amts wegen den Tag der Eintragung der Übertragung im Handelsregister zu vermerken.</w:t>
      </w:r>
    </w:p>
    <w:p>
      <w:r>
        <w:t xml:space="preserve">(4) Das Gericht des Sitzes jeder der an der Übertragung beteiligten Pfandbriefbanken hat jeweils die von ihr vorgenommene Eintragung der Übertragung von Amts wegen im Bundesanzeiger ihrem ganzen Inhalt nach bekannt zu machen.</w:t>
      </w:r>
    </w:p>
    <w:p>
      <w:r>
        <w:t xml:space="preserve">(5) Sofern die Pfandbriefbank eine eingetragene Genossenschaft im Sinne des § 1 Abs. 1 des Genossenschaftsgesetzes ist, tritt bei Anwendung der Absätze 1 bis 4 an die Stelle des Handelsregisters das Genossenschaftsregister.</w:t>
      </w:r>
    </w:p>
    <w:p>
      <w:r>
        <w:rPr>
          <w:color w:val="555555"/>
          <w:sz w:val="17"/>
        </w:rPr>
        <w:t xml:space="preserve">Zitiervorschlag: § 33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