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PfandBG — Übertragung der Deckungsmassen und -verbindlichkeiten</w:t>
      </w:r>
    </w:p>
    <w:p>
      <w:r>
        <w:rPr>
          <w:color w:val="555555"/>
          <w:sz w:val="18"/>
        </w:rPr>
        <w:t xml:space="preserve">Pfandbriefgesetz</w:t>
      </w:r>
    </w:p>
    <w:p>
      <w:r>
        <w:rPr>
          <w:color w:val="555555"/>
          <w:sz w:val="18"/>
        </w:rPr>
        <w:t xml:space="preserve">Stand: 10.06.2019 (konsolidierte Textfassung, kein amtliches Inkrafttretensdatum)</w:t>
      </w:r>
    </w:p>
    <w:p>
      <w:r>
        <w:t xml:space="preserve">(1) Der Sachwalter kann mit schriftlicher Zustimmung der Bundesanstalt alle oder einen Teil der im Deckungsregister eingetragenen Werte einschließlich der Werte im Sinne des § 30 Abs. 3 und der Verbindlichkeiten aus Pfandbriefen als Gesamtheit nach den folgenden Vorschriften auf eine andere Pfandbriefbank übertragen.</w:t>
      </w:r>
    </w:p>
    <w:p>
      <w:r>
        <w:t xml:space="preserve">(2) Der Übertragungsvertrag muss mindestens folgende Angaben enthalten:</w:t>
      </w:r>
    </w:p>
    <w:p>
      <w:pPr>
        <w:ind w:left="420"/>
      </w:pPr>
      <w:r>
        <w:t xml:space="preserve">1. die Firma und den Sitz der übertragenden und der übernehmenden Pfandbriefbank,</w:t>
      </w:r>
    </w:p>
    <w:p>
      <w:pPr>
        <w:ind w:left="420"/>
      </w:pPr>
      <w:r>
        <w:t xml:space="preserve">2. die Vereinbarung über die Übertragung der im Deckungsregister eingetragenen Werte und der Verbindlichkeiten aus Pfandbriefen als Gesamtheit und gegebenenfalls über eine Gegenleistung,</w:t>
      </w:r>
    </w:p>
    <w:p>
      <w:pPr>
        <w:ind w:left="420"/>
      </w:pPr>
      <w:r>
        <w:t xml:space="preserve">3. die genaue Bezeichnung der zu übertragenden Werte und Verbindlichkeiten aus Pfandbriefen.</w:t>
      </w:r>
    </w:p>
    <w:p>
      <w:r>
        <w:t xml:space="preserve">(3) Soweit für die Übertragung von Gegenständen im Falle der Einzelrechtsnachfolge in den allgemeinen Vorschriften eine besondere Art der Bezeichnung bestimmt ist, sind diese Regelungen für die Bezeichnung der zu übertragenden Werte und Verbindlichkeiten aus Pfandbriefen nach Absatz 2 Nr. 3 anzuwenden. § 28 der Grundbuchordnung sowie § 36 der Schiffsregisterordnung und § 87 des Gesetzes über Rechte an Luftfahrzeugen sind zu beachten. Im Übrigen kann auf Urkunden Bezug genommen werden, deren Inhalt eine Zuweisung des einzelnen Gegenstands ermöglicht; die Urkunden sind dem Übertragungsvertrag als Anlagen beizufügen.</w:t>
      </w:r>
    </w:p>
    <w:p>
      <w:r>
        <w:t xml:space="preserve">(4) Der Übertragungsvertrag muss notariell beurkundet werden.</w:t>
      </w:r>
    </w:p>
    <w:p>
      <w:r>
        <w:rPr>
          <w:color w:val="555555"/>
          <w:sz w:val="17"/>
        </w:rPr>
        <w:t xml:space="preserve">Zitiervorschlag: § 32 PfandBG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https://recht.nulegal.eu/gesetze/PfandBG/32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