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PfandBG — Schutz vor Zwangsvollstreckung, Arresten und Aufrechnung</w:t>
      </w:r>
    </w:p>
    <w:p>
      <w:r>
        <w:rPr>
          <w:color w:val="555555"/>
          <w:sz w:val="18"/>
        </w:rPr>
        <w:t xml:space="preserve">Pfandbriefgesetz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Arreste und Zwangsvollstreckungen in alle in ein Deckungsregister eingetragenen Werte einschließlich der Werte im Sinne des § 30 Abs. 3 finden nur wegen der Ansprüche aus den jeweiligen Pfandbriefen und der Ansprüche aus den in das entsprechende Deckungsregister eingetragenen Derivategeschäften statt. § 394 des Bürgerlichen Gesetzbuchs ist entsprechend anzuwenden.</w:t>
      </w:r>
    </w:p>
    <w:p>
      <w:r>
        <w:rPr>
          <w:color w:val="555555"/>
          <w:sz w:val="17"/>
        </w:rPr>
        <w:t xml:space="preserve">Zitiervorschlag: § 29 PfandBG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https://recht.nulegal.eu/gesetze/PfandBG/29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