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26d PfandBG — Beleihungswertermittlung</w:t>
      </w:r>
    </w:p>
    <w:p>
      <w:r>
        <w:rPr>
          <w:color w:val="555555"/>
          <w:sz w:val="18"/>
        </w:rPr>
        <w:t xml:space="preserve">Pfandbriefgesetz</w:t>
      </w:r>
    </w:p>
    <w:p>
      <w:r>
        <w:rPr>
          <w:color w:val="555555"/>
          <w:sz w:val="18"/>
        </w:rPr>
        <w:t xml:space="preserve">Stand: 03.01.2024 (konsolidierte Textfassung, kein amtliches Inkrafttretensdatum)</w:t>
      </w:r>
    </w:p>
    <w:p>
      <w:r>
        <w:t xml:space="preserve">(1) Die als Grundlage für die Festsetzung des Flugzeugbeleihungswertes dienende Wertermittlung ist von einem von der Kreditentscheidung unabhängigen Gutachter vorzunehmen, der über die hierzu notwendige Berufserfahrung sowie über die notwendigen Fachkenntnisse für Flugzeugbeleihungswertermittlungen verfügen muss.</w:t>
      </w:r>
    </w:p>
    <w:p>
      <w:r>
        <w:t xml:space="preserve">(2) Der Flugzeugbeleihungswert darf den Wert nicht überschreiten, der sich im Rahmen einer vorsichtigen Bewertung der zukünftigen Verkäuflichkeit des Flugzeugs und unter Berücksichtigung der langfristigen, nachhaltigen Merkmale des Objekts, der Marktgegebenheiten sowie der derzeitigen und möglichen anderweitigen Nutzungen ergibt. Spekulative Elemente dürfen dabei nicht berücksichtigt werden. Der Flugzeugbeleihungswert darf einen auf transparente Weise und nach einem anerkannten Bewertungsverfahren ermittelten Marktwert nicht übersteigen. § 16 Abs. 2 Satz 4 gilt entsprechend.</w:t>
      </w:r>
    </w:p>
    <w:p>
      <w:r>
        <w:t xml:space="preserve">(3) Das Bundesministerium der Finanzen wird ermächtigt, durch Rechtsverordnung, die nicht der Zustimmung des Bundesrates bedarf, Einzelheiten der Methodik und Form der Flugzeugbeleihungswertermittlung sowie die Mindestanforderungen an die Qualifikation des Gutachters zu bestimmen. Vor Erlass der Rechtsverordnung sind die Spitzenverbände der Kreditwirtschaft anzuhören. Das Bundesministerium der Finanzen kann diese Ermächtigung durch Rechtsverordnung auf die Bundesanstalt für Finanzdienstleistungsaufsicht übertragen.</w:t>
      </w:r>
    </w:p>
    <w:p>
      <w:r>
        <w:rPr>
          <w:color w:val="555555"/>
          <w:sz w:val="17"/>
        </w:rPr>
        <w:t xml:space="preserve">Zitiervorschlag: § 26d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https://recht.nulegal.eu/gesetze/PfandBG/26d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