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26c PfandBG — Versicherung</w:t>
      </w:r>
    </w:p>
    <w:p>
      <w:r>
        <w:rPr>
          <w:color w:val="555555"/>
          <w:sz w:val="18"/>
        </w:rPr>
        <w:t xml:space="preserve">Pfandbriefgesetz</w:t>
      </w:r>
    </w:p>
    <w:p>
      <w:r>
        <w:rPr>
          <w:color w:val="555555"/>
          <w:sz w:val="18"/>
        </w:rPr>
        <w:t xml:space="preserve">Stand: 10.06.2019 (konsolidierte Textfassung, kein amtliches Inkrafttretensdatum)</w:t>
      </w:r>
    </w:p>
    <w:p>
      <w:r>
        <w:t xml:space="preserve">(1) Das Flugzeug muss während der gesamten Dauer der Beleihung zumindest in Höhe von 110 Prozent der jeweiligen ausstehenden Darlehensforderungen zuzüglich eventueller vor- oder gleichrangiger Registerpfandrechte Dritter entsprechend den Geschäftsbedingungen der Pfandbriefbank versichert sein. Der Versicherer muss sich verpflichtet haben, der Pfandbriefbank gegenüber Einwendungen in Bezug auf leistungsbefreiendes Verhalten des Versicherungsnehmers oder des Versicherten nach § 36 Satz 1 des Gesetzes über Rechte an Luftfahrzeugen oder bei Beleihung von im Ausland registrierten Flugzeugen die entsprechenden Einwendungen nicht zu erheben.</w:t>
      </w:r>
    </w:p>
    <w:p>
      <w:r>
        <w:t xml:space="preserve">(2) Die Pfandbriefbank hat die Beleihung dem Versicherer unverzüglich anzuzeigen.</w:t>
      </w:r>
    </w:p>
    <w:p>
      <w:r>
        <w:t xml:space="preserve">(3) Soweit der Versicherer auf Grund der nach Absatz 1 übernommenen Verpflichtung die Pfandbriefbank befriedigt, geht das Registerpfandrecht auf ihn über. Der Übergang kann nicht zum Nachteil der Pfandbriefbank oder eines gleich- oder nachstehenden Registerpfandrechtsgläubigers, demgegenüber die Verpflichtung des Versicherers zur Leistung bestehen geblieben ist, geltend gemacht werden.</w:t>
      </w:r>
    </w:p>
    <w:p>
      <w:r>
        <w:t xml:space="preserve">(4) Erstreckt sich das Registerpfandrecht nicht kraft Gesetzes auf die Versicherungsforderung, ist die Beleihung nur zulässig, wenn die Pfandbriefbank durch Vertrag eine entsprechende Sicherheit erhält.</w:t>
      </w:r>
    </w:p>
    <w:p>
      <w:r>
        <w:rPr>
          <w:color w:val="555555"/>
          <w:sz w:val="17"/>
        </w:rPr>
        <w:t xml:space="preserve">Zitiervorschlag: § 26c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https://recht.nulegal.eu/gesetze/PfandBG/26c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