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PfandBG — Weitere Deckungswerte</w:t>
      </w:r>
    </w:p>
    <w:p>
      <w:r>
        <w:rPr>
          <w:color w:val="555555"/>
          <w:sz w:val="18"/>
        </w:rPr>
        <w:t xml:space="preserve">Pfandbriefgesetz</w:t>
      </w:r>
    </w:p>
    <w:p>
      <w:r>
        <w:rPr>
          <w:color w:val="555555"/>
          <w:sz w:val="18"/>
        </w:rPr>
        <w:t xml:space="preserve">Stand: 08.07.2022 (konsolidierte Textfassung, kein amtliches Inkrafttretensdatum)</w:t>
      </w:r>
    </w:p>
    <w:p>
      <w:r>
        <w:t xml:space="preserve">(1) Die in § 21 Satz 1 vorgeschriebene Deckung kann auch erfolgen</w:t>
      </w:r>
    </w:p>
    <w:p>
      <w:pPr>
        <w:ind w:left="420"/>
      </w:pPr>
      <w:r>
        <w:t xml:space="preserve">1. durch Schuldversprechen oder Schuldanerkenntnisse im Sinne der §§ 780 und 781 des Bürgerlichen Gesetzbuchs, die durch Schiffshypotheken gesichert sind, sofern ihnen Darlehensforderungen zugrunde liegen, die den in den §§ 22 bis 24 bezeichneten Erfordernissen entsprechen; soweit die Darlehensforderungen den vorgenannten Erfordernissen nur teilweise entsprechen, können sie nur in diesem Umfang zur Deckung verwendet werden; § 21 Satz 2 gilt entsprechend;</w:t>
      </w:r>
    </w:p>
    <w:p>
      <w:pPr>
        <w:ind w:left="420"/>
      </w:pPr>
      <w:r>
        <w:t xml:space="preserve">2. durch die in § 19 Absatz 1 Satz 1 Nummer 1 genannten Deckungswerte unter den dort genannten Voraussetzungen und Begrenzungen mit der Maßgabe, dass an die Stelle des Gesamtbetrages der im Umlauf befindlichen Hypothekenpfandbriefe der Gesamtbetrag der im Umlauf befindlichen Schiffspfandbriefe tritt;</w:t>
      </w:r>
    </w:p>
    <w:p>
      <w:pPr>
        <w:ind w:left="420"/>
      </w:pPr>
      <w:r>
        <w:t xml:space="preserve">3. durch die in § 19 Absatz 1 Satz 1 Nummer 2 genannten Deckungswerte unter den dort genannten Voraussetzungen und Begrenzungen mit der Maßgabe, dass an die Stelle des Gesamtbetrages der im Umlauf befindlichen Hypothekenpfandbriefe der Gesamtbetrag der im Umlauf befindlichen Schiffspfandbriefe tritt;</w:t>
      </w:r>
    </w:p>
    <w:p>
      <w:pPr>
        <w:ind w:left="420"/>
      </w:pPr>
      <w:r>
        <w:t xml:space="preserve">4. durch die in § 19 Absatz 1 Satz 1 Nummer 3 genannten Deckungswerte unter den dort genannten Voraussetzungen und Begrenzungen mit der Maßgabe, dass an die Stelle des Gesamtbetrages der im Umlauf befindlichen Hypothekenpfandbriefe der Gesamtbetrag der im Umlauf befindlichen Schiffspfandbriefe tritt;</w:t>
      </w:r>
    </w:p>
    <w:p>
      <w:pPr>
        <w:ind w:left="420"/>
      </w:pPr>
      <w:r>
        <w:t xml:space="preserve">5. durch die in § 19 Absatz 1 Satz 1 Nummer 4 genannten Deckungswerte unter den dort genannten Voraussetzungen und Begrenzungen mit der Maßgabe, dass an die Stelle des Gesamtbetrages der im Umlauf befindlichen Hypothekenpfandbriefe der Gesamtbetrag der im Umlauf befindlichen Schiffspfandbriefe tritt.</w:t>
      </w:r>
    </w:p>
    <w:p>
      <w:r>
        <w:t xml:space="preserve">Bei der Deckung gemäß Satz 1 Nummer 3 sind die in Satz 1 Nummer 2 genannten Deckungswerte anzurechnen. Bei der Deckung gemäß Satz 1 Nummer 4 sind die in Satz 1 Nummer 2 und 3 genannten Deckungswerte anzurechnen. Bei der Deckung gemäß Satz 1 Nummer 5 sind die in Satz 1 Nummer 2 bis 4 genannten Deckungswerte anzurechnen. § 19 Absatz 1 Satz 5 gilt mit der Maßgabe, dass an die Stelle des Gesamtbetrages der im Umlauf befindlichen Hypothekenpfandbriefe der Gesamtbetrag der im Umlauf befindlichen Schiffspfandbriefe tritt. § 19 Absatz 1 Satz 6 und § 20 Absatz 3 gelten entsprechend.</w:t>
      </w:r>
    </w:p>
    <w:p>
      <w:r>
        <w:t xml:space="preserve">(2) Im Falle des § 2 Abs. 3 kann die Bundesanstalt Ausnahmen von den Begrenzungen des Absatzes 1 Satz 1 Nummer 4 und 5 nach entsprechender Maßgabe des § 19 Absatz 2 zulassen.</w:t>
      </w:r>
    </w:p>
    <w:p>
      <w:r>
        <w:rPr>
          <w:color w:val="555555"/>
          <w:sz w:val="17"/>
        </w:rPr>
        <w:t xml:space="preserve">Zitiervorschlag: § 26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