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PfandBG — Deckungswerte</w:t>
      </w:r>
    </w:p>
    <w:p>
      <w:r>
        <w:rPr>
          <w:color w:val="555555"/>
          <w:sz w:val="18"/>
        </w:rPr>
        <w:t xml:space="preserve">Pfandbriefgesetz</w:t>
      </w:r>
    </w:p>
    <w:p>
      <w:r>
        <w:rPr>
          <w:color w:val="555555"/>
          <w:sz w:val="18"/>
        </w:rPr>
        <w:t xml:space="preserve">Stand: 05.09.2026 (konsolidierte Textfassung, kein amtliches Inkrafttretensdatum)</w:t>
      </w:r>
    </w:p>
    <w:p>
      <w:r>
        <w:t xml:space="preserve">(1) Zur Deckung Öffentlicher Pfandbriefe dürfen nur Geldforderungen aus der Vergabe von Darlehen, aus Schuldverschreibungen oder aus einem vergleichbaren Rechtsgeschäft oder andere, von den in Nummer 1 genannten Stellen schriftlich als einredefrei anerkannte Geldforderungen benutzt werden,</w:t>
      </w:r>
    </w:p>
    <w:p>
      <w:pPr>
        <w:ind w:left="420"/>
      </w:pPr>
      <w:r>
        <w:t xml:space="preserve">1. die sich unmittelbar richten gegen</w:t>
      </w:r>
    </w:p>
    <w:p>
      <w:pPr>
        <w:ind w:left="780"/>
      </w:pPr>
      <w:r>
        <w:t xml:space="preserve">a) inländische Gebietskörperschaften und solche Körperschaften und Anstalten des öffentlichen Rechts, für die eine Anstaltslast oder eine auf Gesetz beruhende Gewährträgerhaftung oder eine staatliche Refinanzierungsgarantie gilt oder die das gesetzliche Recht zur Erhebung von Gebühren, Umlagen oder anderen Abgaben innehaben,</w:t>
      </w:r>
    </w:p>
    <w:p>
      <w:pPr>
        <w:ind w:left="780"/>
      </w:pPr>
      <w:r>
        <w:t xml:space="preserve">b) Mitgliedstaaten der Europäischen Union oder Vertragsstaaten des Abkommens über den Europäischen Wirtschaftsraum sowie deren Zentralnotenbanken,</w:t>
      </w:r>
    </w:p>
    <w:p>
      <w:pPr>
        <w:ind w:left="780"/>
      </w:pPr>
      <w:r>
        <w:t xml:space="preserve">c) Regionalverwaltungen sowie Gebietskörperschaften der in Buchstabe b genannten Staaten,</w:t>
      </w:r>
    </w:p>
    <w:p>
      <w:pPr>
        <w:ind w:left="780"/>
      </w:pPr>
      <w:r>
        <w:t xml:space="preserve">d) die Vereinigten Staaten von Amerika, Japan, die Schweiz, das Vereinigte Königreich Großbritannien und Nordirland und Kanada sowie deren Zentralnotenbanken, sofern das Risikogewicht nach Tabelle 1 des Artikels 114 Absatz 2 der Verordnung (EU) Nr. 575/2013 entsprechend der von den zuständigen Behörden vorgenommenen Zuordnung des Ratings anerkannter internationaler Ratingagenturen der Bonitätsstufe 1 zugeordnet worden ist,</w:t>
      </w:r>
    </w:p>
    <w:p>
      <w:pPr>
        <w:ind w:left="780"/>
      </w:pPr>
      <w:r>
        <w:t xml:space="preserve">e) Regionalverwaltungen sowie Gebietskörperschaften der in Buchstabe d genannten Staaten, sofern sie von der jeweiligen nationalen Behörde dem Zentralstaat gleichgestellt worden sind oder sofern ihnen ein der Bonitätsstufe 1 entsprechendes Risikogewicht nach Tabelle 5 des Artikels 121 Absatz 1 der Verordnung (EU) Nr. 575/2013 nach den nationalen Regelungen zugeordnet worden ist, die zur Umsetzung der Rahmenvereinbarung „Internationale Konvergenz der Kapitalmessung und Eigenkapitalanforderungen“ des Baseler Ausschusses für Bankenaufsicht vom Juni 2004 erlassen worden sind; für die Zuordnung zur Bonitätsstufe 1 sind die Ratings anerkannter internationaler Ratingagenturen maßgeblich; hierfür gilt Artikel 115 Absatz 4 der Verordnung (EU) Nr. 575/2013 entsprechend,</w:t>
      </w:r>
    </w:p>
    <w:p>
      <w:pPr>
        <w:ind w:left="780"/>
      </w:pPr>
      <w:r>
        <w:t xml:space="preserve">f) die Europäische Zentralbank sowie multilaterale Entwicklungsbanken und internationale Organisationen im Sinne von Artikel 117 Absatz 2 und Artikel 118 der Verordnung (EU) Nr. 575/2013,</w:t>
      </w:r>
    </w:p>
    <w:p>
      <w:pPr>
        <w:ind w:left="780"/>
      </w:pPr>
      <w:r>
        <w:t xml:space="preserve">g) öffentliche Stellen eines anderen Mitgliedstaats der Europäischen Union oder eines anderen Vertragsstaats des Abkommens über den Europäischen Wirtschaftsraum,</w:t>
      </w:r>
    </w:p>
    <w:p>
      <w:pPr>
        <w:ind w:left="780"/>
      </w:pPr>
      <w:r>
        <w:t xml:space="preserve">h) öffentliche Stellen im Sinne des Artikels 4 Absatz 1 Nummer 8 der Verordnung (EU) Nr. 575/2013 der unter Buchstabe d genannten Staaten, sofern sie die in Buchstabe e aufgeführten Anforderungen erfüllen, oder</w:t>
      </w:r>
    </w:p>
    <w:p>
      <w:pPr>
        <w:ind w:left="420"/>
      </w:pPr>
      <w:r>
        <w:t xml:space="preserve">2. für die eine der in Nummer 1 Buchstabe a bis f genannten Stellen oder ein Exportkreditversicherer mit Sitz in einem der in Nummer 1 Buchstabe b und d genannten Staaten, sofern die Anforderungen der Nummer 1 Buchstabe g oder Buchstabe h erfüllt sind, die Gewährleistung übernommen hat. Eine Gewährleistung liegt insoweit vor, als auf Grund eines Gesetzes, einer Verordnung, einer Satzung oder eines Rechtsgeschäfts der Forderungsinhaber einen Anspruch gegen den Gewährleistenden hat, dass dieser im Falle der Nichtzahlung des Schuldners die für die Erfüllung der Verpflichtung erforderlichen Mittel zur Verfügung stellt. Satz 2 gilt entsprechend, wenn die Pfandbriefbank einen Anspruch gegen eine inländische Gebietskörperschaft oder eine der in Nummer 1 Buchstabe b bis f genannten Stellen hat, dem Gewährleistenden die für die Erfüllung seiner Gewährleistungsverpflichtung erforderlichen Mittel zur Verfügung zu stellen; Artikel 214 Absatz 1 der Verordnung (EU) Nr. 575/2013 ist entsprechend anzuwenden. Der Gewährleistende und, im Fall des Satzes 3, die zur Ausstattung des Gewährleistenden verpflichtete Stelle dürfen gegenüber der Pfandbriefbank nicht das Recht haben, Einwendungen aus dem Rechtsverhältnis mit Dritten geltend zu machen oder sich einseitig von ihren Verpflichtungen zu lösen, oder</w:t>
      </w:r>
    </w:p>
    <w:p>
      <w:pPr>
        <w:ind w:left="420"/>
      </w:pPr>
      <w:r>
        <w:t xml:space="preserve">3. die von einer</w:t>
      </w:r>
    </w:p>
    <w:p>
      <w:pPr>
        <w:ind w:left="780"/>
      </w:pPr>
      <w:r>
        <w:t xml:space="preserve">a) Zentralregierung, Zentralnotenbank, Regionalverwaltung oder örtlichen Gebietskörperschaft eines in Nummer 1 Buchstabe d aufgeführten Staates oder</w:t>
      </w:r>
    </w:p>
    <w:p>
      <w:pPr>
        <w:ind w:left="780"/>
      </w:pPr>
      <w:r>
        <w:t xml:space="preserve">b) von einer öffentlichen Stelle eines in Nummer 1 Buchstabe d aufgeführten Staates</w:t>
      </w:r>
    </w:p>
    <w:p>
      <w:pPr>
        <w:ind w:left="420"/>
      </w:pPr>
      <w:r>
        <w:t xml:space="preserve">geschuldet oder von den in Buchstabe a genannten Einrichtungen gewährleistet werden, sofern der Schuldner oder Gewährleistungsgeber der Bonitätsstufe 2 zugeordnet ist und zum Zeitpunkt der Eintragung der konkreten Forderung in das Deckungsregister der Bonitätsstufe 1 zugeordnet war und diese Forderungen insgesamt 20 Prozent des Gesamtbetrages der ausstehenden Öffentlichen Pfandbriefe der Pfandbriefbank nicht übersteigen.</w:t>
      </w:r>
    </w:p>
    <w:p>
      <w:r>
        <w:t xml:space="preserve">(2) Die in Absatz 1 vorgeschriebene Deckung kann auch erfolgen</w:t>
      </w:r>
    </w:p>
    <w:p>
      <w:pPr>
        <w:ind w:left="420"/>
      </w:pPr>
      <w:r>
        <w:t xml:space="preserve">1. durch die in § 19 Absatz 1 Satz 1 Nummer 1 genannten Deckungswerte unter den dort genannten Voraussetzungen und Begrenzungen mit der Maßgabe, dass an die Stelle des Gesamtbetrages der im Umlauf befindlichen Hypothekenpfandbriefe der Gesamtbetrag der im Umlauf befindlichen Öffentlichen Pfandbriefe tritt;</w:t>
      </w:r>
    </w:p>
    <w:p>
      <w:pPr>
        <w:ind w:left="420"/>
      </w:pPr>
      <w:r>
        <w:t xml:space="preserve">2. durch die in § 19 Absatz 1 Satz 1 Nummer 2 genannten Deckungswerte unter den dort genannten Voraussetzungen und Begrenzungen mit der Maßgabe, dass an die Stelle des Gesamtbetrages der im Umlauf befindlichen Hypothekenpfandbriefe der Gesamtbetrag der im Umlauf befindlichen Öffentlichen Pfandbriefe tritt;</w:t>
      </w:r>
    </w:p>
    <w:p>
      <w:pPr>
        <w:ind w:left="420"/>
      </w:pPr>
      <w:r>
        <w:t xml:space="preserve">3. bis zu insgesamt 15 Prozent des Gesamtbetrages der im Umlauf befindlichen Öffentlichen Pfandbriefe</w:t>
      </w:r>
    </w:p>
    <w:p>
      <w:pPr>
        <w:ind w:left="780"/>
      </w:pPr>
      <w:r>
        <w:t xml:space="preserve">a) durch Geldforderungen, sofern die Höhe der Forderungen der Pfandbriefbank bereits beim Erwerb bekannt ist, deren Erfüllung nicht bedingt, anderen Forderungen rechtsgeschäftlich nachgeordnet oder in sonstiger Weise eingeschränkt ist, gegen Kreditinstitute, die die Bedingungen des § 4 Absatz 1 Satz 3 Nummer 3 erfüllen und denen ein der Bonitätsstufe 1 entsprechendes Risikogewicht zugewiesen ist,</w:t>
      </w:r>
    </w:p>
    <w:p>
      <w:pPr>
        <w:ind w:left="780"/>
      </w:pPr>
      <w:r>
        <w:t xml:space="preserve">b) durch jeweilige Guthaben aus einer Kontoverbindung mit Kreditinstituten, die die Bedingungen des § 4 Absatz 1 Satz 3 Nummer 3 erfüllen und denen ein der Bonitätsstufe 1 entsprechendes Risikogewicht zugewiesen ist,</w:t>
      </w:r>
    </w:p>
    <w:p>
      <w:pPr>
        <w:ind w:left="780"/>
      </w:pPr>
      <w:r>
        <w:t xml:space="preserve">c) durch Ansprüche auf den bei vorzeitiger Beendigung des Rahmenvertrags einheitlich an die Pfandbriefbank zu zahlenden Betrag eines Derivategeschäfts, das abgeschlossen ist mit</w:t>
      </w:r>
    </w:p>
    <w:p>
      <w:pPr>
        <w:ind w:left="1140"/>
      </w:pPr>
      <w:r>
        <w:t xml:space="preserve">aa) dem Bund,</w:t>
      </w:r>
    </w:p>
    <w:p>
      <w:pPr>
        <w:ind w:left="1140"/>
      </w:pPr>
      <w:r>
        <w:t xml:space="preserve">bb) einem Land oder</w:t>
      </w:r>
    </w:p>
    <w:p>
      <w:pPr>
        <w:ind w:left="1140"/>
      </w:pPr>
      <w:r>
        <w:t xml:space="preserve">cc) einem Kreditinstitut, das die Bedingungen des § 4 Absatz 1 Satz 3 Nummer 3 erfüllt und dem ein der Bonitätsstufe 1 entsprechendes Risikogewicht zugewiesen ist;</w:t>
      </w:r>
    </w:p>
    <w:p>
      <w:pPr>
        <w:ind w:left="420"/>
      </w:pPr>
      <w:r>
        <w:t xml:space="preserve">4. durch jeweilige Guthaben aus einer Kontoverbindung mit</w:t>
      </w:r>
    </w:p>
    <w:p>
      <w:pPr>
        <w:ind w:left="780"/>
      </w:pPr>
      <w:r>
        <w:t xml:space="preserve">a) der Europäischen Zentralbank oder</w:t>
      </w:r>
    </w:p>
    <w:p>
      <w:pPr>
        <w:ind w:left="780"/>
      </w:pPr>
      <w:r>
        <w:t xml:space="preserve">b) der Zentralbank eines der Mitgliedstaaten der Europäischen Union oder der anderen Vertragsstaaten des Abkommens über den Europäischen Wirtschaftsraum.</w:t>
      </w:r>
    </w:p>
    <w:p>
      <w:r>
        <w:t xml:space="preserve">Bei der Deckung gemäß Satz 1 Nummer 2 sind die in Satz 1 Nummer 1 genannten Deckungswerte anzurechnen. Bei der Deckung gemäß Satz 1 Nummer 3 sind die in Satz 1 Nummer 1 und 2 genannten Deckungswerte anzurechnen. § 19 Absatz 1 Satz 5 gilt mit der Maßgabe, dass an die Stelle des Gesamtbetrages der im Umlauf befindlichen Hypothekenpfandbriefe der Gesamtbetrag der im Umlauf befindlichen Öffentlichen Pfandbriefe tritt. § 19 Absatz 1 Satz 6 gilt entsprechend.</w:t>
      </w:r>
    </w:p>
    <w:p>
      <w:r>
        <w:t xml:space="preserve">(3) Der Gesamtbetrag der Forderungen gegen außerhalb der Mitgliedstaaten der Europäischen Union ansässige Schuldner, bei denen nicht sichergestellt ist, dass sich das Vorrecht der Gläubiger der Öffentlichen Pfandbriefe nach § 30 Absatz 1 auf die Forderungen der Pfandbriefbank nach den Absätzen 1 und 2 erstreckt, darf 10 Prozent des Gesamtbetrags der Forderungen, bei denen das Vorrecht sichergestellt ist oder für die eine Verpflichtung nach Satz 3 besteht, nicht übersteigen. Satz 1 gilt entsprechend für Ansprüche gegen Gewährleistende und Ausstattungsverpflichtete nach Absatz 1 Nummer 2. Eine Anrechnung von Forderungen gegen die in den Sätzen 1 und 2 genannten Schuldner auf die in Satz 1 genannte Grenze unterbleibt, soweit eine der in Absatz 1 Nummer 1 Buchstabe b oder Buchstabe d genannten Stellen oder ein Exportkreditversicherer, der die Anforderungen des Absatzes 1 Nummer 2 erfüllt, gegenüber der Pfandbriefbank die Verpflichtung übernommen hat, die Pfandbriefbank mit beschränkter Geschäftstätigkeit im Falle der Entziehung der betreffenden Forderung schadlos zu stellen, und dieser Anspruch bei der betreffenden Forderung in das Deckungsregister für Öffentliche Pfandbriefe eingetragen wird; sofern der zur Schadlosstellung Verpflichtete seinen Sitz außerhalb der Mitgliedstaaten der Europäischen Union hat, unterbleibt die Anrechnung auf die in Satz 1 genannte Grenze nur, wenn sichergestellt ist, dass sich das Vorrecht der Pfandbriefgläubiger auf den Anspruch auf Schadlosstellung erstreckt.</w:t>
      </w:r>
    </w:p>
    <w:p>
      <w:r>
        <w:t xml:space="preserve">(4) Die eingetragenen Deckungswerte erstrecken sich auch auf alle Forderungen, deren Inhaber die Pfandbriefbank ist und die auf die wirtschaftliche Substanz des Deckungswertes gerichtet sind, im Falle einer nach Absatz 1 Nummer 2 gewährleisteten Hypothek insbesondere auch auf die in § 12 Abs. 3 genannten Forderungen.</w:t>
      </w:r>
    </w:p>
    <w:p>
      <w:r>
        <w:rPr>
          <w:color w:val="555555"/>
          <w:sz w:val="17"/>
        </w:rPr>
        <w:t xml:space="preserve">Zitiervorschlag: § 20 PfandBG</w:t>
      </w:r>
    </w:p>
    <w:p>
      <w:r>
        <w:rPr>
          <w:color w:val="555555"/>
          <w:sz w:val="17"/>
        </w:rPr>
        <w:t xml:space="preserve">Quelle: Bundesamt für Justiz, abgerufen 05.09.2026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