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PfandBG — Grundschulden und ausländische Sicherungsrechte</w:t>
      </w:r>
    </w:p>
    <w:p>
      <w:r>
        <w:rPr>
          <w:color w:val="555555"/>
          <w:sz w:val="18"/>
        </w:rPr>
        <w:t xml:space="preserve">Pfandbriefgesetz</w:t>
      </w:r>
    </w:p>
    <w:p>
      <w:r>
        <w:rPr>
          <w:color w:val="555555"/>
          <w:sz w:val="18"/>
        </w:rPr>
        <w:t xml:space="preserve">Stand: 10.06.2019 (konsolidierte Textfassung, kein amtliches Inkrafttretensdatum)</w:t>
      </w:r>
    </w:p>
    <w:p>
      <w:r>
        <w:t xml:space="preserve">(1) Im Sinne dieses Gesetzes stehen den Hypotheken die Grundschulden und solche ausländische Sicherungsrechte gleich, die eine vergleichbare Sicherheit bieten und den Gläubiger berechtigen, seine Forderung auch durch Verwertung des belasteten Grundstücks oder Rechts im Sinne des § 13 Abs. 1 Satz 1 zu befriedigen.</w:t>
      </w:r>
    </w:p>
    <w:p>
      <w:r>
        <w:t xml:space="preserve">(2) Auf Grundschulden, die auf Grund einer Zweckvereinbarung zwischen der Pfandbriefbank und dem jeweiligen Grundstückseigentümer der Sicherung einer Darlehensforderung dienen, ist § 12 Abs. 1 mit der Maßgabe anzuwenden, dass an die Stelle der Hypotheken die Grundschulden nebst den ihr zugrunde liegenden Darlehensforderungen treten. § 5 Absatz 1a gilt entsprechend, wenn eine Zweckvereinbarung mehrere Forderungen umfasst. Mehrere zur Deckung bestimmte Forderungen haben im Zweifel gleichen Rang. Soweit ausländische Sicherungsrechte Forderungen unterschiedlicher Gläubiger sichern, bestimmt sich der Rang einer zur Deckung bestimmten Forderung nach den Regeln des jeweils anwendbaren Rechts.</w:t>
      </w:r>
    </w:p>
    <w:p>
      <w:r>
        <w:t xml:space="preserve">(3) Hat die Pfandbriefbank ein Grundstück zur Verhütung von Verlusten an einer ihr an dem Grundstück zustehenden Hypothek oder Grundschuld bei der Zwangsversteigerung erworben und an Stelle der gelöschten Hypothek oder Grundschuld für sich eine Grundschuld eintragen lassen, so findet auf diese § 12 Abs. 2 entsprechende Anwendung.</w:t>
      </w:r>
    </w:p>
    <w:p>
      <w:r>
        <w:rPr>
          <w:color w:val="555555"/>
          <w:sz w:val="17"/>
        </w:rPr>
        <w:t xml:space="preserve">Zitiervorschlag: § 18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