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PfandBG — Belegenheit der Sicherheiten</w:t>
      </w:r>
    </w:p>
    <w:p>
      <w:r>
        <w:rPr>
          <w:color w:val="555555"/>
          <w:sz w:val="18"/>
        </w:rPr>
        <w:t xml:space="preserve">Pfandbriefgesetz</w:t>
      </w:r>
    </w:p>
    <w:p>
      <w:r>
        <w:rPr>
          <w:color w:val="555555"/>
          <w:sz w:val="18"/>
        </w:rPr>
        <w:t xml:space="preserve">Stand: 10.06.2019 (konsolidierte Textfassung, kein amtliches Inkrafttretensdatum)</w:t>
      </w:r>
    </w:p>
    <w:p>
      <w:r>
        <w:t xml:space="preserve">(1) Die Hypotheken müssen lasten auf Grundstücken, grundstücksgleichen Rechten oder solchen Rechten einer ausländischen Rechtsordnung, die den grundstücksgleichen Rechten deutschen Rechts vergleichbar sind. Die belasteten Grundstücke und die Grundstücke, an denen die belasteten Rechte bestehen, müssen in einem Mitgliedstaat der Europäischen Union oder einem anderen Vertragsstaat des Abkommens über den Europäischen Wirtschaftsraum, in der Schweiz, im Vereinigten Königreich Großbritannien und Nordirland, in den Vereinigten Staaten von Amerika, in Kanada, in Japan, in Australien, in Neuseeland oder in Singapur belegen sein; der Gesamtbetrag der Beleihungen in Staaten, die nicht der Europäischen Union angehören, bei denen nicht sichergestellt ist, dass sich das Vorrecht der Pfandbriefgläubiger nach § 30 Abs. 1 auf die Forderungen der Pfandbriefbank aus diesen Beleihungen erstreckt, darf 10 Prozent des Gesamtbetrages der Beleihungen, bei denen das Vorrecht sichergestellt ist, nicht übersteigen.</w:t>
      </w:r>
    </w:p>
    <w:p>
      <w:r>
        <w:t xml:space="preserve">(2) Die Beleihung befristeter Rechte ist nur zulässig, wenn die planmäßige Tilgung der Hypothek spätestens zehn Jahre vor Ablauf des Rechts endet und nicht länger dauert, als zur buchmäßigen Abschreibung des Bauwerks nach wirtschaftlichen Grundsätzen erforderlich ist.</w:t>
      </w:r>
    </w:p>
    <w:p>
      <w:r>
        <w:rPr>
          <w:color w:val="555555"/>
          <w:sz w:val="17"/>
        </w:rPr>
        <w:t xml:space="preserve">Zitiervorschlag: § 13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