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PfandBG — Deckungswerte</w:t>
      </w:r>
    </w:p>
    <w:p>
      <w:r>
        <w:rPr>
          <w:color w:val="555555"/>
          <w:sz w:val="18"/>
        </w:rPr>
        <w:t xml:space="preserve">Pfandbriefgesetz</w:t>
      </w:r>
    </w:p>
    <w:p>
      <w:r>
        <w:rPr>
          <w:color w:val="555555"/>
          <w:sz w:val="18"/>
        </w:rPr>
        <w:t xml:space="preserve">Stand: 03.01.2024 (konsolidierte Textfassung, kein amtliches Inkrafttretensdatum)</w:t>
      </w:r>
    </w:p>
    <w:p>
      <w:r>
        <w:t xml:space="preserve">(1) Zur Deckung für Hypothekenpfandbriefe nach § 1 Abs. 1 Satz 2 Nr. 1 dürfen nur Hypotheken benutzt werden, soweit sie den Erfordernissen der §§ 13 bis 16 entsprechen.</w:t>
      </w:r>
    </w:p>
    <w:p>
      <w:r>
        <w:t xml:space="preserve">(2) Steht der Pfandbriefbank eine Hypothek an einem Grundstück zu, das sie zur Verhütung eines Verlustes an der Hypothek erworben hat, so darf sie die Hypothek nur auf Grund einer neuen Beleihungswertermittlung nach § 16 zur Deckung verwenden.</w:t>
      </w:r>
    </w:p>
    <w:p>
      <w:r>
        <w:t xml:space="preserve">(3) Die eingetragenen Deckungswerte erstrecken sich auch auf alle Forderungen, deren Inhaber die Pfandbriefbank ist und die auf die wirtschaftliche Substanz des Grundstücks gerichtet sind, insbesondere Forderungen, auf die sich die Hypothek bei inländischen Grundstücken nach den §§ 1120, 1123, 1126, 1127 und 1128 des Bürgerlichen Gesetzbuchs erstrecken würde, auf Ansprüche aus mit der Bestellung des Grundpfandrechtes in dieselbe notarielle Urkunde aufgenommenen, eine selbständige Zahlungsverpflichtung begründenden Erklärungen sowie auf Ansprüche der Pfandbriefbank aus eigenem oder abgetretenem Recht aus einer Versicherung nach § 15, auf die Übertragung des Grundstücks oder grundstücksgleiche oder vergleichbare Rechte und auf die Auskehr des Erlöses einer Verwertung. Für Ansprüche nach § 251 Absatz 3 Satz 1 und § 253 Absatz 4 Satz 3 der Insolvenzordnung und § 64 Absatz 3 Satz 1 und § 66 Absatz 5 Satz 3 des Unternehmensstabilisierungs- und -restrukturierungsgesetzes gilt Satz 1 entsprechend.</w:t>
      </w:r>
    </w:p>
    <w:p>
      <w:r>
        <w:rPr>
          <w:color w:val="555555"/>
          <w:sz w:val="17"/>
        </w:rPr>
        <w:t xml:space="preserve">Zitiervorschlag: § 12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