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PfandBG — Befugnisse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Treuhänder ist befugt, jederzeit die Unterlagen der Pfandbriefbank einzusehen und Auskünfte zu verlangen, soweit sie sich auf die Pfandbriefe und auf die in die Deckungsregister eingetragenen Werte beziehen.</w:t>
      </w:r>
    </w:p>
    <w:p>
      <w:r>
        <w:t xml:space="preserve">(2) Die Pfandbriefbank ist verpflichtet, von den Kapitalrückzahlungen auf die in die Deckungsregister eingetragenen Werte sowie von sonstigen für die Pfandbriefgläubiger und die Gläubiger von Ansprüchen aus Derivategeschäften nach § 4 Abs. 3 erheblichen Änderungen, welche diese Werte betreffen, dem Treuhänder fortlaufende Mitteilung zu machen.</w:t>
      </w:r>
    </w:p>
    <w:p>
      <w:r>
        <w:rPr>
          <w:color w:val="555555"/>
          <w:sz w:val="17"/>
        </w:rPr>
        <w:t xml:space="preserve">Zitiervorschlag: § 10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