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PfandBG — Begriffsbestimmungen</w:t>
      </w:r>
    </w:p>
    <w:p>
      <w:r>
        <w:rPr>
          <w:color w:val="555555"/>
          <w:sz w:val="18"/>
        </w:rPr>
        <w:t xml:space="preserve">Pfandbriefgesetz</w:t>
      </w:r>
    </w:p>
    <w:p>
      <w:r>
        <w:rPr>
          <w:color w:val="555555"/>
          <w:sz w:val="18"/>
        </w:rPr>
        <w:t xml:space="preserve">Stand: 10.06.2019 (konsolidierte Textfassung, kein amtliches Inkrafttretensdatum)</w:t>
      </w:r>
    </w:p>
    <w:p>
      <w:r>
        <w:t xml:space="preserve">(1) Pfandbriefbanken sind Kreditinstitute, deren Geschäftsbetrieb das Pfandbriefgeschäft umfasst. Pfandbriefgeschäft ist</w:t>
      </w:r>
    </w:p>
    <w:p>
      <w:pPr>
        <w:ind w:left="420"/>
      </w:pPr>
      <w:r>
        <w:t xml:space="preserve">1. die Ausgabe gedeckter Schuldverschreibungen auf Grund erworbener Hypotheken unter der Bezeichnung Pfandbriefe oder Hypothekenpfandbriefe (im Folgenden: Hypothekenpfandbriefe),</w:t>
      </w:r>
    </w:p>
    <w:p>
      <w:pPr>
        <w:ind w:left="420"/>
      </w:pPr>
      <w:r>
        <w:t xml:space="preserve">2. die Ausgabe gedeckter Schuldverschreibungen auf Grund erworbener Forderungen gegen staatliche Stellen unter der Bezeichnung Kommunalschuldverschreibungen, Kommunalobligationen oder Öffentliche Pfandbriefe (im Folgenden: Öffentliche Pfandbriefe),</w:t>
      </w:r>
    </w:p>
    <w:p>
      <w:pPr>
        <w:ind w:left="420"/>
      </w:pPr>
      <w:r>
        <w:t xml:space="preserve">3. die Ausgabe gedeckter Schuldverschreibungen auf Grund erworbener Schiffshypotheken unter der Bezeichnung Schiffspfandbriefe,</w:t>
      </w:r>
    </w:p>
    <w:p>
      <w:pPr>
        <w:ind w:left="420"/>
      </w:pPr>
      <w:r>
        <w:t xml:space="preserve">4. die Ausgabe gedeckter Schuldverschreibungen auf Grund erworbener Registerpfandrechte nach § 1 des Gesetzes über Rechte an Luftfahrzeugen oder ausländischer Flugzeughypotheken unter der Bezeichnung Flugzeugpfandbriefe.</w:t>
      </w:r>
    </w:p>
    <w:p>
      <w:r>
        <w:t xml:space="preserve">(2) Dem Erwerb einer Hypothek steht gleich der Anspruch gegen ein geeignetes Kreditinstitut auf Abtretung oder Teilabtretung einer Hypothek, die von dem Kreditinstitut treuhänderisch zugunsten der Pfandbriefbank verwaltet wird, sofern im Falle der Insolvenz des Kreditinstituts die Pfandbriefbank die Aussonderung der Hypothek verlangen kann.Für Forderungen im Sinne des Absatzes 1 Satz 2 Nummer 2, für Schiffshypotheken und für Registerpfandrechte im Sinne des Absatzes 1 Satz 2 Nummer 4 oder ausländische Flugzeughypotheken gilt Satz 1 entsprechend.Bei Forderungen im Sinne des Absatzes 1 Satz 2 Nummer 2 gegen öffentliche Schuldner im Sinne des § 20 Absatz 1 können Gegenstand des Abtretungs- und Übertragungsanspruchs auch Ansprüche sein, die sich gegen geeignete andere Kreditinstitute richten und die Voraussetzungen des Satzes 1 erfüllen oder ihrerseits gleiche Ansprüche gegen geeignete Kreditinstitute oder unter öffentlicher Aufsicht stehende Wertpapierverwahrer zum Gegenstand haben.</w:t>
      </w:r>
    </w:p>
    <w:p>
      <w:r>
        <w:t xml:space="preserve">(3) Pfandbriefe im Sinne der folgenden Vorschriften sind Hypothekenpfandbriefe, Öffentliche Pfandbriefe, Schiffspfandbriefe und Flugzeugpfandbriefe.</w:t>
      </w:r>
    </w:p>
    <w:p>
      <w:r>
        <w:rPr>
          <w:color w:val="555555"/>
          <w:sz w:val="17"/>
        </w:rPr>
        <w:t xml:space="preserve">Zitiervorschlag: § 1 PfandBG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https://recht.nulegal.eu/gesetze/PfandBG/1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