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PfSchGerKVO (Nordrhein-Westfalen)</w:t>
      </w:r>
    </w:p>
    <w:p>
      <w:r>
        <w:rPr>
          <w:color w:val="555555"/>
          <w:sz w:val="18"/>
        </w:rPr>
        <w:t xml:space="preserve">Pflanzenschutzgerätekontrollverordnung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November 2014</w:t>
      </w:r>
    </w:p>
    <w:p>
      <w:r>
        <w:t xml:space="preserve">Auf Grund des § 16 Absatz 5 Satz 1 und 2 des Pflanzenschutzgesetzes vom 6. Februar 2012 (BGBl. I S. 148, 1281) verordnet die Landesregierung:</w:t>
      </w:r>
    </w:p>
    <w:p>
      <w:r>
        <w:rPr>
          <w:color w:val="555555"/>
          <w:sz w:val="17"/>
        </w:rPr>
        <w:t xml:space="preserve">Zitiervorschlag: Volltext PfSchGerKVO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https://recht.nulegal.eu/gesetze/PfSchGerKVO/volltext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