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PfPTrStatG — Abwicklung von Schäden</w:t>
      </w:r>
    </w:p>
    <w:p>
      <w:r>
        <w:rPr>
          <w:color w:val="555555"/>
          <w:sz w:val="18"/>
        </w:rPr>
        <w:t xml:space="preserve">Gesetz zum PfP-Truppenstatut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Abgeltung von Schäden finden die Artikel 6, 8 bis 14 und 25 des Gesetzes zum NATO-Truppenstatut und zu den Zusatzvereinbarungen vom 18. August 1961 (BGBl. 1961 II S. 1183) in der jeweils geltenden Fassung entsprechende Anwendung.</w:t>
      </w:r>
    </w:p>
    <w:p>
      <w:r>
        <w:t xml:space="preserve">(2) Schadensersatzansprüche gegen Mitglieder der Streitkräfte einer Vertragspartei aus Handlungen oder Unterlassungen, die nicht in Ausübung des Dienstes begangen wurden, werden gemäß Artikel 2 Satz 1 mit § 16 Abs. 5 des Streitkräfteaufenthaltsgesetzes vom 20. Juli 1995 (BGBl. 1995 II S. 554) abgewickelt.</w:t>
      </w:r>
    </w:p>
    <w:p>
      <w:r>
        <w:rPr>
          <w:color w:val="555555"/>
          <w:sz w:val="17"/>
        </w:rPr>
        <w:t xml:space="preserve">Zitiervorschlag: Art 2 PfPTrStatG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https://recht.nulegal.eu/gesetze/PfPTrStatG/2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