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PetG (Brandenburg) — Behandlung personenbezogener Daten, Akteneinsicht und Erteilung von Auskünften</w:t>
      </w:r>
    </w:p>
    <w:p>
      <w:r>
        <w:rPr>
          <w:color w:val="555555"/>
          <w:sz w:val="18"/>
        </w:rPr>
        <w:t xml:space="preserve">Petitionsgesetz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Daten zur Person des Petenten und zum Gegenstand der Petition dürfen verarbeitet werden. Der Petent ist hierüber zu unterrichten.</w:t>
      </w:r>
    </w:p>
    <w:p>
      <w:r>
        <w:t xml:space="preserve">(2) Der Petitionsausschuss ist im Rahmen der Wahrnehmung seiner Rechte befugt, personenbezogene Daten an die Landesregierung und andere öffentliche Stellen zu übermitteln.</w:t>
      </w:r>
    </w:p>
    <w:p>
      <w:r>
        <w:t xml:space="preserve">(3) Es besteht kein Anspruch auf Einsicht in oder Auskunft aus Petitionsakten. Dies gilt nicht für Ansprüche auf datenschutzrechtlicher Grundlage.</w:t>
      </w:r>
    </w:p>
    <w:p>
      <w:r>
        <w:t xml:space="preserve">(4) Im Übrigen gilt die Datenschutzordnung des Landtages.</w:t>
      </w:r>
    </w:p>
    <w:p>
      <w:r>
        <w:rPr>
          <w:color w:val="555555"/>
          <w:sz w:val="17"/>
        </w:rPr>
        <w:t xml:space="preserve">Zitiervorschlag: § 6 PetG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https://recht.nulegal.eu/gesetze/PetG/6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