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PetG (Brandenburg) — Petitionen inhaftierter oder in psychiatrischen Einrichtungen untergebrachter Personen</w:t>
      </w:r>
    </w:p>
    <w:p>
      <w:r>
        <w:rPr>
          <w:color w:val="555555"/>
          <w:sz w:val="18"/>
        </w:rPr>
        <w:t xml:space="preserve">Petitionsgesetz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Petitionen inhaftierter oder in psychiatrischen Einrichtungen untergebrachter Personen sind verschlossen und ohne Kontrolle dem Landtag zuzuleiten. Gleiches gilt für Schreiben des Landtages an diese Petenten.</w:t>
      </w:r>
    </w:p>
    <w:p>
      <w:r>
        <w:rPr>
          <w:color w:val="555555"/>
          <w:sz w:val="17"/>
        </w:rPr>
        <w:t xml:space="preserve">Zitiervorschlag: § 3 PetG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https://recht.nulegal.eu/gesetze/PetG/3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