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PetG (Brandenburg) — Inkrafttreten, Außerkrafttreten</w:t>
      </w:r>
    </w:p>
    <w:p>
      <w:r>
        <w:rPr>
          <w:color w:val="555555"/>
          <w:sz w:val="18"/>
        </w:rPr>
        <w:t xml:space="preserve">Petitionsgesetz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Dieses Gesetz tritt am Tag nach der Verkündung in Kraft. Gleichzeitig tritt das Petitionsgesetz vom 13. Dezember 1991 ( GVBl. S. 643) außer Kraft.</w:t>
      </w:r>
    </w:p>
    <w:p>
      <w:r>
        <w:t xml:space="preserve">Potsdam, den 20. Dezember 2010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14 PetG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https://recht.nulegal.eu/gesetze/PetG/14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