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PetG (Brandenburg) — Petitionsberechtigung</w:t>
      </w:r>
    </w:p>
    <w:p>
      <w:r>
        <w:rPr>
          <w:color w:val="555555"/>
          <w:sz w:val="18"/>
        </w:rPr>
        <w:t xml:space="preserve">Petitionsgesetz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Petitionsberechtigt ist jede Person unabhängig von ihrer Geschäftsfähigkeit oder Staatsangehörigkeit. Petitionen können von Einzelpersonen oder mehreren Personen gemeinsam bei dem Landtag Brandenburg eingereicht werden.</w:t>
      </w:r>
    </w:p>
    <w:p>
      <w:r>
        <w:t xml:space="preserve">(2) Mitarbeiter des öffentlichen Dienstes können Petitionen auch in dienstlichen Angelegenheiten ohne Einhaltung des Dienstweges einreichen.</w:t>
      </w:r>
    </w:p>
    <w:p>
      <w:r>
        <w:t xml:space="preserve">(3) Juristische Personen des Privatrechts sind petitionsberechtigt.</w:t>
      </w:r>
    </w:p>
    <w:p>
      <w:r>
        <w:t xml:space="preserve">(4) Juristischen Personen des öffentlichen Rechts steht das Petitionsrecht insoweit zu, als die Petition einen Gegenstand ihres sachlichen Zuständigkeitsbereiches betrifft.</w:t>
      </w:r>
    </w:p>
    <w:p>
      <w:r>
        <w:t xml:space="preserve">(5) Petitionen können auch durch gesetzliche oder rechtsgeschäftliche Vertreter eingereicht werden.</w:t>
      </w:r>
    </w:p>
    <w:p>
      <w:r>
        <w:rPr>
          <w:color w:val="555555"/>
          <w:sz w:val="17"/>
        </w:rPr>
        <w:t xml:space="preserve">Zitiervorschlag: § 1 PetG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