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PersVO (Nordrhein-Westfalen) — Inkrafttreten, Außerkrafttreten</w:t>
      </w:r>
    </w:p>
    <w:p>
      <w:r>
        <w:rPr>
          <w:color w:val="555555"/>
          <w:sz w:val="18"/>
        </w:rPr>
        <w:t xml:space="preserve">Personalverordnung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tritt vorbehaltlich des Absatzes 2 am Tag nach der Verkündung in Kraft. Gleichzeitig tritt die Personalverordnung vom 4. August 2020 (GV. NRW. S. 726), die zuletzt durch Verordnung vom 30. Mai 2023 (GV. NRW. S. 386, ber. S. 1030), geändert worden ist, außer Kraft.</w:t>
      </w:r>
    </w:p>
    <w:p>
      <w:r>
        <w:t xml:space="preserve">(2) § 8a tritt am 1. Januar 2031 in Kraft.</w:t>
      </w:r>
    </w:p>
    <w:p>
      <w:r>
        <w:t xml:space="preserve">(3) Die §§ 13 und 15 treten am 31. Dezember 2030 außer Kraft.</w:t>
      </w:r>
    </w:p>
    <w:p>
      <w:r>
        <w:t xml:space="preserve">Die Ministerin für Kinder, Jugend, Familie,</w:t>
      </w:r>
    </w:p>
    <w:p>
      <w:r>
        <w:t xml:space="preserve">Gleichstellung, Flucht und Integration</w:t>
      </w:r>
    </w:p>
    <w:p>
      <w:r>
        <w:t xml:space="preserve">Die Ministerin für Heimat, Kommunales,</w:t>
      </w:r>
    </w:p>
    <w:p>
      <w:r>
        <w:t xml:space="preserve">Bau und Digitalisierung</w:t>
      </w:r>
    </w:p>
    <w:p>
      <w:r>
        <w:rPr>
          <w:color w:val="555555"/>
          <w:sz w:val="17"/>
        </w:rPr>
        <w:t xml:space="preserve">Zitiervorschlag: § 17 PersVO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https://recht.nulegal.eu/gesetze/PersVO/17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