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PersVO (Nordrhein-Westfalen) — Erweiterter Personaleinsatz auf Ergänzungskraftstunden</w:t>
      </w:r>
    </w:p>
    <w:p>
      <w:r>
        <w:rPr>
          <w:color w:val="555555"/>
          <w:sz w:val="18"/>
        </w:rPr>
        <w:t xml:space="preserve">Personalverordnung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Erfüllung des in den Gruppen jeweils geforderten Personaleinsatzes können</w:t>
      </w:r>
    </w:p>
    <w:p>
      <w:r>
        <w:t xml:space="preserve">1. Arbeitserzieherinnen und Arbeitserzieher,</w:t>
      </w:r>
    </w:p>
    <w:p>
      <w:r>
        <w:t xml:space="preserve">2. Familienpflegerinnen und Familienpfleger,</w:t>
      </w:r>
    </w:p>
    <w:p>
      <w:r>
        <w:t xml:space="preserve">3. Dorfhelferinnen und Dorfhelfer sowie</w:t>
      </w:r>
    </w:p>
    <w:p>
      <w:r>
        <w:t xml:space="preserve">4. Gymnastiklehrerinnen und Gymnastiklehrer</w:t>
      </w:r>
    </w:p>
    <w:p>
      <w:r>
        <w:t xml:space="preserve">auf Ergänzungskraftstunden eingesetzt werden.</w:t>
      </w:r>
    </w:p>
    <w:p>
      <w:r>
        <w:t xml:space="preserve">(2) Ebenso eingesetzt werden können Kindertagespflegepersonen,</w:t>
      </w:r>
    </w:p>
    <w:p>
      <w:r>
        <w:t xml:space="preserve">1. die mindestens drei Jahre als durch einen Träger der öffentlichen Jugendhilfe im Rahmen von § 23 des Achten Buches Sozialgesetzbuch geförderte Kindertagespflegeperson tätig waren oder</w:t>
      </w:r>
    </w:p>
    <w:p>
      <w:r>
        <w:t xml:space="preserve">2. die über eine QHB-Qualifikation nach § 21 Absatz 2 Satz 1 des Kinderbildungsgesetzes verfügen, sofern die praxisbegleitende Tätigkeit als Kindertagespflegeperson mit Erlaubnis zur Kindertagespflege absolviert wurde.</w:t>
      </w:r>
    </w:p>
    <w:p>
      <w:r>
        <w:rPr>
          <w:color w:val="555555"/>
          <w:sz w:val="17"/>
        </w:rPr>
        <w:t xml:space="preserve">Zitiervorschlag: § 12 PersVO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https://recht.nulegal.eu/gesetze/PersVO/12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