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PersVMobFachwPrV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Fortbildungsabschluss Geprüfter Fachwirt für Personenverkehr und Mobilität und Geprüfte Fachwirtin für Personenverkehr und Mobilität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6 und 7 außer Betracht. Für die übrigen Prüfungsbestandteile erhöhen sich die Anteile nach § 6 Absatz 2 Satz 2 oder § 7 Absatz 3 Satz 1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5 PersVMobFachwPrV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https://recht.nulegal.eu/gesetze/PersVMobFachwPrV/5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