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PersVMobFachwPrV — Gliederung und Durchführung der Prüfung</w:t>
      </w:r>
    </w:p>
    <w:p>
      <w:r>
        <w:rPr>
          <w:color w:val="555555"/>
          <w:sz w:val="18"/>
        </w:rPr>
        <w:t xml:space="preserve">Verordnung über die Prüfung zum anerkannten Fortbildungsabschluss Geprüfter Fachwirt für Personenverkehr und Mobilität und Geprüfte Fachwirtin für Personenverkehr und Mobilität</w:t>
      </w:r>
    </w:p>
    <w:p>
      <w:r>
        <w:rPr>
          <w:color w:val="555555"/>
          <w:sz w:val="18"/>
        </w:rPr>
        <w:t xml:space="preserve">Stand: 10.01.2020 (konsolidierte Textfassung, kein amtliches Inkrafttretensdatum)</w:t>
      </w:r>
    </w:p>
    <w:p>
      <w:r>
        <w:t xml:space="preserve">(1) Die Prüfung ist schriftlich und mündlich durchzuführen.</w:t>
      </w:r>
    </w:p>
    <w:p>
      <w:r>
        <w:t xml:space="preserve">(2) Die Prüfung bezieht sich auf die folgenden Handlungsbereiche:</w:t>
      </w:r>
    </w:p>
    <w:p>
      <w:pPr>
        <w:ind w:left="420"/>
      </w:pPr>
      <w:r>
        <w:t xml:space="preserve">1. Konzipieren und Vermarkten von Mobilitätsdienstleistungen,</w:t>
      </w:r>
    </w:p>
    <w:p>
      <w:pPr>
        <w:ind w:left="420"/>
      </w:pPr>
      <w:r>
        <w:t xml:space="preserve">2. Leistungserstellung und Auftragsabwicklung im Personenverkehr,</w:t>
      </w:r>
    </w:p>
    <w:p>
      <w:pPr>
        <w:ind w:left="420"/>
      </w:pPr>
      <w:r>
        <w:t xml:space="preserve">3. Kommunikation, Führung und Zusammenarbeit.</w:t>
      </w:r>
    </w:p>
    <w:p>
      <w:r>
        <w:t xml:space="preserve">(3) Die schriftliche Prüfung wird auf der Grundlage einer betrieblichen Situationsbeschreibung mit zwei gleichgewichtigen, daraus abgeleiteten aufeinander abgestimmten offenen Aufgabenstellungen, die eigenständige Lösungen ermöglichen, durchgeführt, wobei alle Handlungsbereiche situationsbezogen zu thematisieren sind. Die gesamte Bearbeitungsdauer soll 600 Minuten betragen.</w:t>
      </w:r>
    </w:p>
    <w:p>
      <w:r>
        <w:t xml:space="preserve">(4) Nach bestandener schriftlicher Prüfung wird die mündliche Prüfung durchgeführt. Die mündliche Prüfung gliedert sich in eine Präsentation und ein Fachgespräch. In ihr soll auch nachgewiesen werden, dass angemessen und sachgerecht kommuniziert und präsentiert werden kann.</w:t>
      </w:r>
    </w:p>
    <w:p>
      <w:r>
        <w:t xml:space="preserve">(5) In der Präsentation nach Absatz 4 soll nachgewiesen werden, dass eine komplexe Aufgabe der betrieblichen Praxis erfasst, dargestellt, beurteilt und gelöst werden kann. Die Themenstellung muss sich auf zwei der Handlungsbereiche nach Absatz 2 beziehen, von denen einer der Handlungsbereich „Kommunikation, Führung und Zusammenarbeit“ ist. Die Präsentationszeit soll zehn Minuten nicht überschreiten.</w:t>
      </w:r>
    </w:p>
    <w:p>
      <w:r>
        <w:t xml:space="preserve">(6) Das Thema der Präsentation wird von der zu prüfenden Person gewählt und mit einer Kurzbeschreibung der Problemstellung, des Ziels und einer Gliederung dem Prüfungsausschuss zum Termin der schriftlichen Prüfung eingereicht.</w:t>
      </w:r>
    </w:p>
    <w:p>
      <w:r>
        <w:t xml:space="preserve">(7) Im Fachgespräch soll ausgehend von der Präsentation die Fähigkeit nachgewiesen werden, betriebspraktische Probleme zu analysieren und Lösungsmöglichkeiten unter Beachtung der maßgebenden Einflussfaktoren zu bewerten. Das Fachgespräch soll in der Regel 20 Minuten dauern.</w:t>
      </w:r>
    </w:p>
    <w:p>
      <w:r>
        <w:rPr>
          <w:color w:val="555555"/>
          <w:sz w:val="17"/>
        </w:rPr>
        <w:t xml:space="preserve">Zitiervorschlag: § 3 PersVMobFachwPrV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https://recht.nulegal.eu/gesetze/PersVMobFachwPrV/3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