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PersVMobFachwPrV — Zulassungsvoraussetzungen</w:t>
      </w:r>
    </w:p>
    <w:p>
      <w:r>
        <w:rPr>
          <w:color w:val="555555"/>
          <w:sz w:val="18"/>
        </w:rPr>
        <w:t xml:space="preserve">Verordnung über die Prüfung zum anerkannten Fortbildungsabschluss Geprüfter Fachwirt für Personenverkehr und Mobilität und Geprüfte Fachwirtin für Personenverkehr und Mobilität</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einem anerkannten kaufmännischen oder verwaltenden dreijährigen Ausbildungsberuf oder einem dreijährigen anerkannten Ausbildungsberuf des Personen- oder Reiseverkehrs und danach eine mindestens einjährige Berufspraxis oder</w:t>
      </w:r>
    </w:p>
    <w:p>
      <w:pPr>
        <w:ind w:left="420"/>
      </w:pPr>
      <w:r>
        <w:t xml:space="preserve">2. eine mit Erfolg abgelegte Abschlussprüfung in einem sonstigen anerkannten dreijährigen Ausbildungsberuf und danach eine mindestens zweijährige Berufspraxis oder</w:t>
      </w:r>
    </w:p>
    <w:p>
      <w:pPr>
        <w:ind w:left="420"/>
      </w:pPr>
      <w:r>
        <w:t xml:space="preserve">3. eine mindestens fünfjährige Berufspraxis</w:t>
      </w:r>
    </w:p>
    <w:p>
      <w:r>
        <w:t xml:space="preserve">nachweist.</w:t>
      </w:r>
    </w:p>
    <w:p>
      <w:r>
        <w:t xml:space="preserve">(2) Die Berufspraxis nach Absatz 1 muss inhaltlich wesentliche Bezüge zu den in § 1 Absatz 2 genannten Aufgaben haben.</w:t>
      </w:r>
    </w:p>
    <w:p>
      <w:r>
        <w:t xml:space="preserve">(3) Abweichend von Absatz 1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PersVMobFachwPrV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https://recht.nulegal.eu/gesetze/PersVMobFachwPrV/2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