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PersVEntV</w:t>
      </w:r>
    </w:p>
    <w:p>
      <w:r>
        <w:rPr>
          <w:color w:val="555555"/>
          <w:sz w:val="18"/>
        </w:rPr>
        <w:t xml:space="preserve">Verordnung über die Höhe der Aufwandsentschädigung für vom Dienst freigestellte Personalvertretungsmitglieder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Aufwandsentschädigung beträgt für ganz von ihrer dienstlichen Tätigkeit freigestellte Mitglieder von Personalräten, Gesamtpersonalräten, Bezirkspersonalräten und Hauptpersonalräten 26 Euro monatlich.</w:t>
      </w:r>
    </w:p>
    <w:p>
      <w:r>
        <w:rPr>
          <w:color w:val="555555"/>
          <w:sz w:val="17"/>
        </w:rPr>
        <w:t xml:space="preserve">Zitiervorschlag: § 1 PersVEntV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https://recht.nulegal.eu/gesetze/PersVEntV/1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