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IV PersStdGÄndG 2</w:t>
      </w:r>
    </w:p>
    <w:p>
      <w:r>
        <w:rPr>
          <w:color w:val="555555"/>
          <w:sz w:val="18"/>
        </w:rPr>
        <w:t xml:space="preserve">Zweites Gesetz zur Änderung und Ergänzung des Personenstandsgesetzes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IV PersStdGÄndG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https://recht.nulegal.eu/gesetze/PersStdG%C3%84ndG%202/iv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